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jc w:val="center"/>
        <w:rPr>
          <w:rFonts w:ascii="宋体" w:hAnsi="宋体"/>
          <w:b/>
          <w:bCs/>
          <w:sz w:val="13"/>
          <w:szCs w:val="18"/>
        </w:rPr>
      </w:pPr>
      <w:r>
        <w:rPr>
          <w:rFonts w:hint="eastAsia" w:ascii="微软雅黑" w:hAnsi="微软雅黑" w:eastAsia="微软雅黑"/>
          <w:b/>
          <w:bCs/>
          <w:sz w:val="32"/>
          <w:szCs w:val="44"/>
        </w:rPr>
        <w:t>证券投资基金投资人权益须知</w:t>
      </w:r>
    </w:p>
    <w:p>
      <w:pPr>
        <w:rPr>
          <w:rFonts w:ascii="宋体" w:hAnsi="宋体"/>
          <w:bCs/>
          <w:sz w:val="18"/>
          <w:szCs w:val="18"/>
        </w:rPr>
      </w:pPr>
      <w:r>
        <w:rPr>
          <w:rFonts w:hint="eastAsia" w:ascii="宋体" w:hAnsi="宋体"/>
          <w:bCs/>
          <w:sz w:val="18"/>
          <w:szCs w:val="18"/>
        </w:rPr>
        <w:t>尊敬的基金投资人：</w:t>
      </w:r>
    </w:p>
    <w:p>
      <w:pPr>
        <w:ind w:firstLine="360" w:firstLineChars="200"/>
        <w:rPr>
          <w:rFonts w:ascii="宋体" w:hAnsi="宋体"/>
          <w:b/>
          <w:bCs/>
          <w:sz w:val="18"/>
          <w:szCs w:val="18"/>
        </w:rPr>
      </w:pPr>
      <w:r>
        <w:rPr>
          <w:rFonts w:hint="eastAsia" w:ascii="宋体" w:hAnsi="宋体"/>
          <w:bCs/>
          <w:sz w:val="18"/>
          <w:szCs w:val="18"/>
        </w:rPr>
        <w:t>基金投资在获取收益的同时存在投资风险。为了保护您的合法权益，请在投资基金前认真阅读以下内容：</w:t>
      </w:r>
    </w:p>
    <w:p>
      <w:pPr>
        <w:ind w:firstLine="361" w:firstLineChars="200"/>
        <w:rPr>
          <w:rFonts w:ascii="宋体" w:hAnsi="宋体"/>
          <w:b/>
          <w:bCs/>
          <w:sz w:val="18"/>
          <w:szCs w:val="18"/>
        </w:rPr>
      </w:pPr>
      <w:r>
        <w:rPr>
          <w:rFonts w:hint="eastAsia" w:ascii="宋体" w:hAnsi="宋体" w:cs="宋体"/>
          <w:b/>
          <w:kern w:val="0"/>
          <w:sz w:val="18"/>
          <w:szCs w:val="18"/>
        </w:rPr>
        <w:t>一、基金的基本知识</w:t>
      </w:r>
    </w:p>
    <w:p>
      <w:pPr>
        <w:ind w:firstLine="361" w:firstLineChars="200"/>
        <w:rPr>
          <w:rFonts w:ascii="宋体" w:hAnsi="宋体"/>
          <w:b/>
          <w:bCs/>
          <w:sz w:val="18"/>
          <w:szCs w:val="18"/>
        </w:rPr>
      </w:pPr>
      <w:r>
        <w:rPr>
          <w:rFonts w:hint="eastAsia" w:ascii="宋体" w:hAnsi="宋体" w:cs="宋体"/>
          <w:b/>
          <w:kern w:val="0"/>
          <w:sz w:val="18"/>
          <w:szCs w:val="18"/>
        </w:rPr>
        <w:t>（一）什么是基金</w:t>
      </w:r>
    </w:p>
    <w:p>
      <w:pPr>
        <w:ind w:firstLine="360" w:firstLineChars="200"/>
        <w:rPr>
          <w:rFonts w:ascii="宋体" w:hAnsi="宋体"/>
          <w:b/>
          <w:bCs/>
          <w:sz w:val="18"/>
          <w:szCs w:val="18"/>
        </w:rPr>
      </w:pPr>
      <w:r>
        <w:rPr>
          <w:rFonts w:hint="eastAsia" w:ascii="宋体" w:hAnsi="宋体" w:cs="宋体"/>
          <w:kern w:val="0"/>
          <w:sz w:val="18"/>
          <w:szCs w:val="18"/>
        </w:rPr>
        <w:t>公开募集证券投资基金（简称基金）是指通过发售基金份额，将众多投资者的资金集中起来，形成独立财产，由基金托管人托管，基金管理人管理，以投资组合的方法进行证券投资的一种利益共享、风险共担的集合投资方式。</w:t>
      </w:r>
    </w:p>
    <w:p>
      <w:pPr>
        <w:ind w:firstLine="361" w:firstLineChars="200"/>
        <w:rPr>
          <w:rFonts w:ascii="宋体" w:hAnsi="宋体"/>
          <w:b/>
          <w:bCs/>
          <w:sz w:val="18"/>
          <w:szCs w:val="18"/>
        </w:rPr>
      </w:pPr>
      <w:r>
        <w:rPr>
          <w:rFonts w:hint="eastAsia" w:ascii="宋体" w:hAnsi="宋体" w:cs="宋体"/>
          <w:b/>
          <w:kern w:val="0"/>
          <w:sz w:val="18"/>
          <w:szCs w:val="18"/>
        </w:rPr>
        <w:t>（二）基金与股票、债券、储蓄存款等其它金融工具的区别</w:t>
      </w:r>
    </w:p>
    <w:tbl>
      <w:tblPr>
        <w:tblStyle w:val="13"/>
        <w:tblW w:w="10186" w:type="dxa"/>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89"/>
        <w:gridCol w:w="1860"/>
        <w:gridCol w:w="1962"/>
        <w:gridCol w:w="209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shd w:val="clear" w:color="auto" w:fill="B3B3B3"/>
            <w:vAlign w:val="center"/>
          </w:tcPr>
          <w:p>
            <w:pPr>
              <w:pStyle w:val="10"/>
              <w:adjustRightInd w:val="0"/>
              <w:snapToGrid w:val="0"/>
              <w:ind w:firstLine="33" w:firstLineChars="18"/>
              <w:jc w:val="center"/>
              <w:rPr>
                <w:b/>
                <w:bCs/>
                <w:sz w:val="18"/>
                <w:szCs w:val="18"/>
              </w:rPr>
            </w:pPr>
          </w:p>
        </w:tc>
        <w:tc>
          <w:tcPr>
            <w:tcW w:w="2989" w:type="dxa"/>
            <w:shd w:val="clear" w:color="auto" w:fill="B3B3B3"/>
            <w:vAlign w:val="center"/>
          </w:tcPr>
          <w:p>
            <w:pPr>
              <w:pStyle w:val="10"/>
              <w:adjustRightInd w:val="0"/>
              <w:snapToGrid w:val="0"/>
              <w:ind w:firstLine="33" w:firstLineChars="18"/>
              <w:jc w:val="center"/>
              <w:rPr>
                <w:b/>
                <w:bCs/>
                <w:sz w:val="18"/>
                <w:szCs w:val="18"/>
              </w:rPr>
            </w:pPr>
            <w:r>
              <w:rPr>
                <w:rFonts w:hint="eastAsia"/>
                <w:b/>
                <w:bCs/>
                <w:sz w:val="18"/>
                <w:szCs w:val="18"/>
              </w:rPr>
              <w:t>基金</w:t>
            </w:r>
          </w:p>
        </w:tc>
        <w:tc>
          <w:tcPr>
            <w:tcW w:w="1860" w:type="dxa"/>
            <w:shd w:val="clear" w:color="auto" w:fill="B3B3B3"/>
            <w:vAlign w:val="center"/>
          </w:tcPr>
          <w:p>
            <w:pPr>
              <w:pStyle w:val="10"/>
              <w:adjustRightInd w:val="0"/>
              <w:snapToGrid w:val="0"/>
              <w:ind w:firstLine="33" w:firstLineChars="18"/>
              <w:jc w:val="center"/>
              <w:rPr>
                <w:b/>
                <w:bCs/>
                <w:sz w:val="18"/>
                <w:szCs w:val="18"/>
              </w:rPr>
            </w:pPr>
            <w:r>
              <w:rPr>
                <w:rFonts w:hint="eastAsia"/>
                <w:b/>
                <w:bCs/>
                <w:sz w:val="18"/>
                <w:szCs w:val="18"/>
              </w:rPr>
              <w:t>股票</w:t>
            </w:r>
          </w:p>
        </w:tc>
        <w:tc>
          <w:tcPr>
            <w:tcW w:w="1962" w:type="dxa"/>
            <w:shd w:val="clear" w:color="auto" w:fill="B3B3B3"/>
            <w:vAlign w:val="center"/>
          </w:tcPr>
          <w:p>
            <w:pPr>
              <w:pStyle w:val="10"/>
              <w:adjustRightInd w:val="0"/>
              <w:snapToGrid w:val="0"/>
              <w:ind w:firstLine="33" w:firstLineChars="18"/>
              <w:jc w:val="center"/>
              <w:rPr>
                <w:b/>
                <w:bCs/>
                <w:sz w:val="18"/>
                <w:szCs w:val="18"/>
              </w:rPr>
            </w:pPr>
            <w:r>
              <w:rPr>
                <w:rFonts w:hint="eastAsia"/>
                <w:b/>
                <w:bCs/>
                <w:sz w:val="18"/>
                <w:szCs w:val="18"/>
              </w:rPr>
              <w:t>债券</w:t>
            </w:r>
          </w:p>
        </w:tc>
        <w:tc>
          <w:tcPr>
            <w:tcW w:w="2099" w:type="dxa"/>
            <w:shd w:val="clear" w:color="auto" w:fill="B3B3B3"/>
            <w:vAlign w:val="center"/>
          </w:tcPr>
          <w:p>
            <w:pPr>
              <w:pStyle w:val="10"/>
              <w:adjustRightInd w:val="0"/>
              <w:snapToGrid w:val="0"/>
              <w:ind w:firstLine="33" w:firstLineChars="18"/>
              <w:jc w:val="center"/>
              <w:rPr>
                <w:b/>
                <w:bCs/>
                <w:sz w:val="18"/>
                <w:szCs w:val="18"/>
              </w:rPr>
            </w:pPr>
            <w:r>
              <w:rPr>
                <w:rFonts w:hint="eastAsia"/>
                <w:b/>
                <w:bCs/>
                <w:sz w:val="18"/>
                <w:szCs w:val="18"/>
              </w:rPr>
              <w:t>银行储蓄存款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反映的经济关系不同</w:t>
            </w:r>
          </w:p>
        </w:tc>
        <w:tc>
          <w:tcPr>
            <w:tcW w:w="2989" w:type="dxa"/>
          </w:tcPr>
          <w:p>
            <w:pPr>
              <w:pStyle w:val="10"/>
              <w:adjustRightInd w:val="0"/>
              <w:snapToGrid w:val="0"/>
              <w:ind w:firstLine="32" w:firstLineChars="18"/>
              <w:jc w:val="both"/>
              <w:rPr>
                <w:bCs/>
                <w:sz w:val="18"/>
                <w:szCs w:val="18"/>
              </w:rPr>
            </w:pPr>
            <w:r>
              <w:rPr>
                <w:rFonts w:hint="eastAsia"/>
                <w:bCs/>
                <w:sz w:val="18"/>
                <w:szCs w:val="18"/>
              </w:rPr>
              <w:t>信托关系，是一种受益凭证，投资者购买基金份额后成为基金受益人，基金管理人只是替投资者管理资金，并不承担投资损失风险</w:t>
            </w:r>
          </w:p>
        </w:tc>
        <w:tc>
          <w:tcPr>
            <w:tcW w:w="1860" w:type="dxa"/>
          </w:tcPr>
          <w:p>
            <w:pPr>
              <w:pStyle w:val="10"/>
              <w:adjustRightInd w:val="0"/>
              <w:snapToGrid w:val="0"/>
              <w:ind w:firstLine="32" w:firstLineChars="18"/>
              <w:jc w:val="both"/>
              <w:rPr>
                <w:bCs/>
                <w:sz w:val="18"/>
                <w:szCs w:val="18"/>
              </w:rPr>
            </w:pPr>
            <w:r>
              <w:rPr>
                <w:rFonts w:hint="eastAsia"/>
                <w:bCs/>
                <w:sz w:val="18"/>
                <w:szCs w:val="18"/>
              </w:rPr>
              <w:t>所有权关系，是一种所有权凭证，投资者购买后成为公司股东</w:t>
            </w:r>
          </w:p>
        </w:tc>
        <w:tc>
          <w:tcPr>
            <w:tcW w:w="1962" w:type="dxa"/>
          </w:tcPr>
          <w:p>
            <w:pPr>
              <w:pStyle w:val="10"/>
              <w:adjustRightInd w:val="0"/>
              <w:snapToGrid w:val="0"/>
              <w:ind w:firstLine="32" w:firstLineChars="18"/>
              <w:jc w:val="both"/>
              <w:rPr>
                <w:bCs/>
                <w:sz w:val="18"/>
                <w:szCs w:val="18"/>
              </w:rPr>
            </w:pPr>
            <w:r>
              <w:rPr>
                <w:rFonts w:hint="eastAsia"/>
                <w:bCs/>
                <w:sz w:val="18"/>
                <w:szCs w:val="18"/>
              </w:rPr>
              <w:t>债权债务关系，是一种债权凭证，投资者购买后成为该公司债权人</w:t>
            </w:r>
          </w:p>
        </w:tc>
        <w:tc>
          <w:tcPr>
            <w:tcW w:w="2099" w:type="dxa"/>
          </w:tcPr>
          <w:p>
            <w:pPr>
              <w:pStyle w:val="10"/>
              <w:adjustRightInd w:val="0"/>
              <w:snapToGrid w:val="0"/>
              <w:ind w:firstLine="32" w:firstLineChars="18"/>
              <w:jc w:val="both"/>
              <w:rPr>
                <w:bCs/>
                <w:sz w:val="18"/>
                <w:szCs w:val="18"/>
              </w:rPr>
            </w:pPr>
            <w:r>
              <w:rPr>
                <w:rFonts w:hint="eastAsia"/>
                <w:bCs/>
                <w:sz w:val="18"/>
                <w:szCs w:val="18"/>
              </w:rPr>
              <w:t>表现为银行的负债，是一种信用凭证，银行对存款者负有法定的保本付息责任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所筹资金的投向不同</w:t>
            </w:r>
          </w:p>
        </w:tc>
        <w:tc>
          <w:tcPr>
            <w:tcW w:w="2989" w:type="dxa"/>
          </w:tcPr>
          <w:p>
            <w:pPr>
              <w:pStyle w:val="10"/>
              <w:adjustRightInd w:val="0"/>
              <w:snapToGrid w:val="0"/>
              <w:ind w:firstLine="32" w:firstLineChars="18"/>
              <w:jc w:val="both"/>
              <w:rPr>
                <w:bCs/>
                <w:sz w:val="18"/>
                <w:szCs w:val="18"/>
              </w:rPr>
            </w:pPr>
            <w:r>
              <w:rPr>
                <w:rFonts w:hint="eastAsia"/>
                <w:bCs/>
                <w:sz w:val="18"/>
                <w:szCs w:val="18"/>
              </w:rPr>
              <w:t>间接投资工具，主要投向股票、债券等有价证券</w:t>
            </w:r>
          </w:p>
        </w:tc>
        <w:tc>
          <w:tcPr>
            <w:tcW w:w="1860" w:type="dxa"/>
          </w:tcPr>
          <w:p>
            <w:pPr>
              <w:pStyle w:val="10"/>
              <w:adjustRightInd w:val="0"/>
              <w:snapToGrid w:val="0"/>
              <w:ind w:firstLine="32" w:firstLineChars="18"/>
              <w:jc w:val="both"/>
              <w:rPr>
                <w:bCs/>
                <w:sz w:val="18"/>
                <w:szCs w:val="18"/>
              </w:rPr>
            </w:pPr>
            <w:r>
              <w:rPr>
                <w:rFonts w:hint="eastAsia"/>
                <w:bCs/>
                <w:sz w:val="18"/>
                <w:szCs w:val="18"/>
              </w:rPr>
              <w:t>直接投资工具，主要投向实业领域</w:t>
            </w:r>
          </w:p>
        </w:tc>
        <w:tc>
          <w:tcPr>
            <w:tcW w:w="1962" w:type="dxa"/>
          </w:tcPr>
          <w:p>
            <w:pPr>
              <w:pStyle w:val="10"/>
              <w:adjustRightInd w:val="0"/>
              <w:snapToGrid w:val="0"/>
              <w:ind w:firstLine="32" w:firstLineChars="18"/>
              <w:jc w:val="both"/>
              <w:rPr>
                <w:bCs/>
                <w:sz w:val="18"/>
                <w:szCs w:val="18"/>
              </w:rPr>
            </w:pPr>
            <w:r>
              <w:rPr>
                <w:rFonts w:hint="eastAsia"/>
                <w:bCs/>
                <w:sz w:val="18"/>
                <w:szCs w:val="18"/>
              </w:rPr>
              <w:t>直接投资工具，主要投向实业领域</w:t>
            </w:r>
          </w:p>
        </w:tc>
        <w:tc>
          <w:tcPr>
            <w:tcW w:w="2099" w:type="dxa"/>
          </w:tcPr>
          <w:p>
            <w:pPr>
              <w:pStyle w:val="10"/>
              <w:adjustRightInd w:val="0"/>
              <w:snapToGrid w:val="0"/>
              <w:ind w:firstLine="32" w:firstLineChars="18"/>
              <w:jc w:val="both"/>
              <w:rPr>
                <w:bCs/>
                <w:sz w:val="18"/>
                <w:szCs w:val="18"/>
              </w:rPr>
            </w:pPr>
            <w:r>
              <w:rPr>
                <w:rFonts w:hint="eastAsia"/>
                <w:bCs/>
                <w:sz w:val="18"/>
                <w:szCs w:val="18"/>
              </w:rPr>
              <w:t>间接投资工具，银行负责资金用途和投向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投资收益与风险大小不同</w:t>
            </w:r>
          </w:p>
        </w:tc>
        <w:tc>
          <w:tcPr>
            <w:tcW w:w="2989" w:type="dxa"/>
          </w:tcPr>
          <w:p>
            <w:pPr>
              <w:pStyle w:val="10"/>
              <w:adjustRightInd w:val="0"/>
              <w:snapToGrid w:val="0"/>
              <w:ind w:firstLine="32" w:firstLineChars="18"/>
              <w:jc w:val="both"/>
              <w:rPr>
                <w:bCs/>
                <w:sz w:val="18"/>
                <w:szCs w:val="18"/>
              </w:rPr>
            </w:pPr>
            <w:r>
              <w:rPr>
                <w:rFonts w:hint="eastAsia"/>
                <w:bCs/>
                <w:sz w:val="18"/>
                <w:szCs w:val="18"/>
              </w:rPr>
              <w:t>投资于众多有价证券，能有效分散风险，风险相对适中，收益相对稳健</w:t>
            </w:r>
          </w:p>
        </w:tc>
        <w:tc>
          <w:tcPr>
            <w:tcW w:w="1860" w:type="dxa"/>
          </w:tcPr>
          <w:p>
            <w:pPr>
              <w:pStyle w:val="10"/>
              <w:adjustRightInd w:val="0"/>
              <w:snapToGrid w:val="0"/>
              <w:ind w:firstLine="32" w:firstLineChars="18"/>
              <w:jc w:val="both"/>
              <w:rPr>
                <w:bCs/>
                <w:sz w:val="18"/>
                <w:szCs w:val="18"/>
              </w:rPr>
            </w:pPr>
            <w:r>
              <w:rPr>
                <w:rFonts w:hint="eastAsia"/>
                <w:bCs/>
                <w:sz w:val="18"/>
                <w:szCs w:val="18"/>
              </w:rPr>
              <w:t>价格波动性大，高风险、高收益</w:t>
            </w:r>
          </w:p>
        </w:tc>
        <w:tc>
          <w:tcPr>
            <w:tcW w:w="1962" w:type="dxa"/>
          </w:tcPr>
          <w:p>
            <w:pPr>
              <w:pStyle w:val="10"/>
              <w:adjustRightInd w:val="0"/>
              <w:snapToGrid w:val="0"/>
              <w:ind w:firstLine="32" w:firstLineChars="18"/>
              <w:jc w:val="both"/>
              <w:rPr>
                <w:bCs/>
                <w:sz w:val="18"/>
                <w:szCs w:val="18"/>
              </w:rPr>
            </w:pPr>
            <w:r>
              <w:rPr>
                <w:rFonts w:hint="eastAsia"/>
                <w:bCs/>
                <w:sz w:val="18"/>
                <w:szCs w:val="18"/>
              </w:rPr>
              <w:t>价格波动较股票小，低风险、低收益</w:t>
            </w:r>
          </w:p>
        </w:tc>
        <w:tc>
          <w:tcPr>
            <w:tcW w:w="2099" w:type="dxa"/>
          </w:tcPr>
          <w:p>
            <w:pPr>
              <w:pStyle w:val="10"/>
              <w:adjustRightInd w:val="0"/>
              <w:snapToGrid w:val="0"/>
              <w:ind w:firstLine="32" w:firstLineChars="18"/>
              <w:jc w:val="both"/>
              <w:rPr>
                <w:bCs/>
                <w:sz w:val="18"/>
                <w:szCs w:val="18"/>
              </w:rPr>
            </w:pPr>
            <w:r>
              <w:rPr>
                <w:rFonts w:hint="eastAsia"/>
                <w:bCs/>
                <w:sz w:val="18"/>
                <w:szCs w:val="18"/>
              </w:rPr>
              <w:t>银行存款利率相对固定，损失本金的可能性很小，投资比较安全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收益来源</w:t>
            </w:r>
          </w:p>
        </w:tc>
        <w:tc>
          <w:tcPr>
            <w:tcW w:w="2989" w:type="dxa"/>
          </w:tcPr>
          <w:p>
            <w:pPr>
              <w:pStyle w:val="10"/>
              <w:adjustRightInd w:val="0"/>
              <w:snapToGrid w:val="0"/>
              <w:ind w:firstLine="32" w:firstLineChars="18"/>
              <w:jc w:val="both"/>
              <w:rPr>
                <w:bCs/>
                <w:sz w:val="18"/>
                <w:szCs w:val="18"/>
              </w:rPr>
            </w:pPr>
            <w:r>
              <w:rPr>
                <w:rFonts w:hint="eastAsia"/>
                <w:bCs/>
                <w:sz w:val="18"/>
                <w:szCs w:val="18"/>
              </w:rPr>
              <w:t>利息收入、股利收入、资本利得</w:t>
            </w:r>
          </w:p>
        </w:tc>
        <w:tc>
          <w:tcPr>
            <w:tcW w:w="1860" w:type="dxa"/>
          </w:tcPr>
          <w:p>
            <w:pPr>
              <w:pStyle w:val="10"/>
              <w:adjustRightInd w:val="0"/>
              <w:snapToGrid w:val="0"/>
              <w:ind w:firstLine="32" w:firstLineChars="18"/>
              <w:jc w:val="both"/>
              <w:rPr>
                <w:bCs/>
                <w:sz w:val="18"/>
                <w:szCs w:val="18"/>
              </w:rPr>
            </w:pPr>
            <w:r>
              <w:rPr>
                <w:rFonts w:hint="eastAsia"/>
                <w:bCs/>
                <w:sz w:val="18"/>
                <w:szCs w:val="18"/>
              </w:rPr>
              <w:t>股利收入、资本利得</w:t>
            </w:r>
          </w:p>
        </w:tc>
        <w:tc>
          <w:tcPr>
            <w:tcW w:w="1962" w:type="dxa"/>
          </w:tcPr>
          <w:p>
            <w:pPr>
              <w:pStyle w:val="10"/>
              <w:adjustRightInd w:val="0"/>
              <w:snapToGrid w:val="0"/>
              <w:ind w:firstLine="32" w:firstLineChars="18"/>
              <w:jc w:val="both"/>
              <w:rPr>
                <w:bCs/>
                <w:sz w:val="18"/>
                <w:szCs w:val="18"/>
              </w:rPr>
            </w:pPr>
            <w:r>
              <w:rPr>
                <w:rFonts w:hint="eastAsia"/>
                <w:bCs/>
                <w:sz w:val="18"/>
                <w:szCs w:val="18"/>
              </w:rPr>
              <w:t>利息收入、资本利得</w:t>
            </w:r>
          </w:p>
        </w:tc>
        <w:tc>
          <w:tcPr>
            <w:tcW w:w="2099" w:type="dxa"/>
          </w:tcPr>
          <w:p>
            <w:pPr>
              <w:pStyle w:val="10"/>
              <w:adjustRightInd w:val="0"/>
              <w:snapToGrid w:val="0"/>
              <w:ind w:firstLine="32" w:firstLineChars="18"/>
              <w:jc w:val="both"/>
              <w:rPr>
                <w:bCs/>
                <w:sz w:val="18"/>
                <w:szCs w:val="18"/>
              </w:rPr>
            </w:pPr>
            <w:r>
              <w:rPr>
                <w:rFonts w:hint="eastAsia"/>
                <w:bCs/>
                <w:sz w:val="18"/>
                <w:szCs w:val="18"/>
              </w:rPr>
              <w:t>利息收入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投资渠道</w:t>
            </w:r>
          </w:p>
        </w:tc>
        <w:tc>
          <w:tcPr>
            <w:tcW w:w="2989" w:type="dxa"/>
          </w:tcPr>
          <w:p>
            <w:pPr>
              <w:pStyle w:val="10"/>
              <w:adjustRightInd w:val="0"/>
              <w:snapToGrid w:val="0"/>
              <w:ind w:firstLine="32" w:firstLineChars="18"/>
              <w:jc w:val="both"/>
              <w:rPr>
                <w:bCs/>
                <w:sz w:val="18"/>
                <w:szCs w:val="18"/>
              </w:rPr>
            </w:pPr>
            <w:r>
              <w:rPr>
                <w:rFonts w:hint="eastAsia"/>
                <w:bCs/>
                <w:sz w:val="18"/>
                <w:szCs w:val="18"/>
              </w:rPr>
              <w:t>基金管理公司及银行、证券公司等代销机构</w:t>
            </w:r>
          </w:p>
        </w:tc>
        <w:tc>
          <w:tcPr>
            <w:tcW w:w="1860" w:type="dxa"/>
          </w:tcPr>
          <w:p>
            <w:pPr>
              <w:pStyle w:val="10"/>
              <w:adjustRightInd w:val="0"/>
              <w:snapToGrid w:val="0"/>
              <w:ind w:firstLine="32" w:firstLineChars="18"/>
              <w:jc w:val="both"/>
              <w:rPr>
                <w:bCs/>
                <w:sz w:val="18"/>
                <w:szCs w:val="18"/>
              </w:rPr>
            </w:pPr>
            <w:r>
              <w:rPr>
                <w:rFonts w:hint="eastAsia"/>
                <w:bCs/>
                <w:sz w:val="18"/>
                <w:szCs w:val="18"/>
              </w:rPr>
              <w:t>证券公司</w:t>
            </w:r>
          </w:p>
        </w:tc>
        <w:tc>
          <w:tcPr>
            <w:tcW w:w="1962" w:type="dxa"/>
          </w:tcPr>
          <w:p>
            <w:pPr>
              <w:pStyle w:val="10"/>
              <w:adjustRightInd w:val="0"/>
              <w:snapToGrid w:val="0"/>
              <w:ind w:firstLine="32" w:firstLineChars="18"/>
              <w:jc w:val="both"/>
              <w:rPr>
                <w:bCs/>
                <w:sz w:val="18"/>
                <w:szCs w:val="18"/>
              </w:rPr>
            </w:pPr>
            <w:r>
              <w:rPr>
                <w:rFonts w:hint="eastAsia"/>
                <w:bCs/>
                <w:sz w:val="18"/>
                <w:szCs w:val="18"/>
              </w:rPr>
              <w:t>债券发行机构、证券公司及银行等代销机构</w:t>
            </w:r>
          </w:p>
        </w:tc>
        <w:tc>
          <w:tcPr>
            <w:tcW w:w="2099" w:type="dxa"/>
          </w:tcPr>
          <w:p>
            <w:pPr>
              <w:pStyle w:val="10"/>
              <w:adjustRightInd w:val="0"/>
              <w:snapToGrid w:val="0"/>
              <w:ind w:firstLine="32" w:firstLineChars="18"/>
              <w:jc w:val="both"/>
              <w:rPr>
                <w:bCs/>
                <w:sz w:val="18"/>
                <w:szCs w:val="18"/>
              </w:rPr>
            </w:pPr>
            <w:r>
              <w:rPr>
                <w:rFonts w:hint="eastAsia"/>
                <w:bCs/>
                <w:sz w:val="18"/>
                <w:szCs w:val="18"/>
              </w:rPr>
              <w:t>银行、信用社、邮政储蓄银行</w:t>
            </w:r>
          </w:p>
        </w:tc>
      </w:tr>
    </w:tbl>
    <w:p>
      <w:pPr>
        <w:ind w:firstLine="361" w:firstLineChars="200"/>
        <w:rPr>
          <w:rFonts w:ascii="宋体" w:hAnsi="宋体" w:cs="宋体"/>
          <w:b/>
          <w:kern w:val="0"/>
          <w:sz w:val="18"/>
          <w:szCs w:val="18"/>
        </w:rPr>
      </w:pPr>
      <w:r>
        <w:rPr>
          <w:rFonts w:hint="eastAsia" w:ascii="宋体" w:hAnsi="宋体" w:cs="宋体"/>
          <w:b/>
          <w:kern w:val="0"/>
          <w:sz w:val="18"/>
          <w:szCs w:val="18"/>
        </w:rPr>
        <w:t>（三）基金的分类</w:t>
      </w:r>
    </w:p>
    <w:p>
      <w:pPr>
        <w:ind w:firstLine="360" w:firstLineChars="200"/>
        <w:rPr>
          <w:rFonts w:ascii="宋体" w:hAnsi="宋体" w:cs="宋体"/>
          <w:b/>
          <w:kern w:val="0"/>
          <w:sz w:val="18"/>
          <w:szCs w:val="18"/>
        </w:rPr>
      </w:pPr>
      <w:r>
        <w:rPr>
          <w:rFonts w:hint="eastAsia" w:ascii="宋体" w:hAnsi="宋体" w:cs="宋体"/>
          <w:bCs/>
          <w:kern w:val="0"/>
          <w:sz w:val="18"/>
          <w:szCs w:val="18"/>
        </w:rPr>
        <w:t>1、依据运作方式的不同，可分为封闭式基金与开放式基金</w:t>
      </w:r>
    </w:p>
    <w:p>
      <w:pPr>
        <w:ind w:firstLine="360" w:firstLineChars="200"/>
        <w:rPr>
          <w:rFonts w:ascii="宋体" w:hAnsi="宋体" w:cs="宋体"/>
          <w:b/>
          <w:kern w:val="0"/>
          <w:sz w:val="18"/>
          <w:szCs w:val="18"/>
        </w:rPr>
      </w:pPr>
      <w:r>
        <w:rPr>
          <w:rFonts w:hint="eastAsia" w:ascii="宋体" w:hAnsi="宋体" w:cs="宋体"/>
          <w:bCs/>
          <w:kern w:val="0"/>
          <w:sz w:val="18"/>
          <w:szCs w:val="18"/>
        </w:rPr>
        <w:t>封闭式基金是指基金份额在基金合同期限内固定不变，基金份额可以在依法设立的证券交易所交易，但基金份额持有人不得申请赎回的一种基金运作方式。</w:t>
      </w:r>
    </w:p>
    <w:p>
      <w:pPr>
        <w:ind w:firstLine="360" w:firstLineChars="200"/>
        <w:rPr>
          <w:rFonts w:ascii="宋体" w:hAnsi="宋体" w:cs="宋体"/>
          <w:b/>
          <w:kern w:val="0"/>
          <w:sz w:val="18"/>
          <w:szCs w:val="18"/>
        </w:rPr>
      </w:pPr>
      <w:r>
        <w:rPr>
          <w:rFonts w:hint="eastAsia" w:ascii="宋体" w:hAnsi="宋体" w:cs="宋体"/>
          <w:bCs/>
          <w:kern w:val="0"/>
          <w:sz w:val="18"/>
          <w:szCs w:val="18"/>
        </w:rPr>
        <w:t>开放式基金是指基金份额不固定，基金份额可以在基金合同约定的时间和场所进行申购和赎回的一种基金运作方式。</w:t>
      </w:r>
    </w:p>
    <w:p>
      <w:pPr>
        <w:ind w:firstLine="360" w:firstLineChars="200"/>
        <w:rPr>
          <w:rFonts w:ascii="宋体" w:hAnsi="宋体" w:cs="宋体"/>
          <w:bCs/>
          <w:kern w:val="0"/>
          <w:sz w:val="18"/>
          <w:szCs w:val="18"/>
        </w:rPr>
      </w:pPr>
      <w:r>
        <w:rPr>
          <w:rFonts w:hint="eastAsia" w:ascii="宋体" w:hAnsi="宋体" w:cs="宋体"/>
          <w:bCs/>
          <w:kern w:val="0"/>
          <w:sz w:val="18"/>
          <w:szCs w:val="18"/>
        </w:rPr>
        <w:t>2、依据投资对象的不同，可分为股票基金、债券基金、货币市场基金、混合基金、基金中基金、中国证监会规定的其他基金类别</w:t>
      </w:r>
    </w:p>
    <w:p>
      <w:pPr>
        <w:ind w:firstLine="360" w:firstLineChars="200"/>
        <w:rPr>
          <w:rFonts w:ascii="宋体" w:hAnsi="宋体" w:cs="宋体"/>
          <w:b/>
          <w:kern w:val="0"/>
          <w:sz w:val="18"/>
          <w:szCs w:val="18"/>
        </w:rPr>
      </w:pPr>
      <w:r>
        <w:rPr>
          <w:rFonts w:hint="eastAsia" w:ascii="宋体" w:hAnsi="宋体" w:cs="宋体"/>
          <w:kern w:val="0"/>
          <w:sz w:val="18"/>
          <w:szCs w:val="18"/>
        </w:rPr>
        <w:t>根据《公开募集证券投资基金运作管理办法》对基金类别的分类标准，80%以上的基金资产投资于股票的为股票基金；80%以上的基金资产投资于债券的为债券基金；仅投资于货币市场工具的为货币市场基金；80%以上的基金资产投资于其他基金份额的，为基金中基金；投资于股票、债券、货币市场工具或其他基金份额，但股票投资、债券投资、基金投资的比例不符合股票基金、债券基金、基金中基金规定的为混合基金。这些基金类别按收益和风险由高到低的排列顺序为：股票基金、混合基金、债券基金、货币市场基金，即股票基金的风险和收益最高，货币市场基金的风险和收益最低。</w:t>
      </w:r>
    </w:p>
    <w:p>
      <w:pPr>
        <w:ind w:firstLine="360" w:firstLineChars="200"/>
        <w:rPr>
          <w:rFonts w:ascii="宋体" w:hAnsi="宋体" w:cs="宋体"/>
          <w:b/>
          <w:kern w:val="0"/>
          <w:sz w:val="18"/>
          <w:szCs w:val="18"/>
        </w:rPr>
      </w:pPr>
      <w:r>
        <w:rPr>
          <w:rFonts w:hint="eastAsia" w:ascii="宋体" w:hAnsi="宋体" w:cs="宋体"/>
          <w:bCs/>
          <w:kern w:val="0"/>
          <w:sz w:val="18"/>
          <w:szCs w:val="18"/>
        </w:rPr>
        <w:t>3、</w:t>
      </w:r>
      <w:r>
        <w:rPr>
          <w:rFonts w:hint="eastAsia" w:ascii="宋体" w:hAnsi="宋体" w:cs="宋体"/>
          <w:kern w:val="0"/>
          <w:sz w:val="18"/>
          <w:szCs w:val="18"/>
        </w:rPr>
        <w:t>特殊类型基金</w:t>
      </w:r>
    </w:p>
    <w:p>
      <w:pPr>
        <w:ind w:firstLine="360" w:firstLineChars="200"/>
        <w:rPr>
          <w:rFonts w:ascii="宋体" w:hAnsi="宋体" w:cs="宋体"/>
          <w:b/>
          <w:kern w:val="0"/>
          <w:sz w:val="18"/>
          <w:szCs w:val="18"/>
        </w:rPr>
      </w:pPr>
      <w:r>
        <w:rPr>
          <w:rFonts w:hint="eastAsia" w:ascii="宋体" w:hAnsi="宋体" w:cs="宋体"/>
          <w:kern w:val="0"/>
          <w:sz w:val="18"/>
          <w:szCs w:val="18"/>
        </w:rPr>
        <w:t>（1）系列基金。又被称为伞型基金，是指多个基金共用一个基金合同，子基金独立运作，子基金之间可以进行相互转换的一种基金结构形式。</w:t>
      </w:r>
    </w:p>
    <w:p>
      <w:pPr>
        <w:ind w:firstLine="360" w:firstLineChars="200"/>
        <w:rPr>
          <w:rFonts w:ascii="宋体" w:hAnsi="宋体" w:cs="宋体"/>
          <w:b/>
          <w:kern w:val="0"/>
          <w:sz w:val="18"/>
          <w:szCs w:val="18"/>
        </w:rPr>
      </w:pPr>
      <w:r>
        <w:rPr>
          <w:rFonts w:hint="eastAsia" w:ascii="宋体" w:hAnsi="宋体" w:cs="宋体"/>
          <w:kern w:val="0"/>
          <w:sz w:val="18"/>
          <w:szCs w:val="18"/>
        </w:rPr>
        <w:t>（2）避险策略基金。是指通过一定的避险投资策略进行运作,同时引入相关保障机制，以在避险策略周期到期时，力求避免基金份额持有人投资本金出现亏损的公开募集证券投资基金。</w:t>
      </w:r>
    </w:p>
    <w:p>
      <w:pPr>
        <w:ind w:firstLine="360" w:firstLineChars="200"/>
        <w:rPr>
          <w:rFonts w:ascii="宋体" w:hAnsi="宋体" w:cs="宋体"/>
          <w:b/>
          <w:kern w:val="0"/>
          <w:sz w:val="18"/>
          <w:szCs w:val="18"/>
        </w:rPr>
      </w:pPr>
      <w:r>
        <w:rPr>
          <w:rFonts w:hint="eastAsia" w:ascii="宋体" w:hAnsi="宋体" w:cs="宋体"/>
          <w:kern w:val="0"/>
          <w:sz w:val="18"/>
          <w:szCs w:val="18"/>
        </w:rPr>
        <w:t>（3）交易型开放式指数基金(ETF)与ETF联接基金。交易型开放式指数基金，通常又被称为交易所交易基金(Exchange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但是，由于它的申购是用于一篮子成份券换取基金份额，赎回也是换回一篮子成份券而非现金。为方便未参与二级市场交易的投资者，就诞生了“ETF联接基金”，这种基金将90%以上的资产投资于目标ETF，采用开放式运作方式并在场外申购或赎回。</w:t>
      </w:r>
    </w:p>
    <w:p>
      <w:pPr>
        <w:ind w:firstLine="360" w:firstLineChars="200"/>
        <w:rPr>
          <w:rFonts w:ascii="宋体" w:hAnsi="宋体" w:cs="宋体"/>
          <w:b/>
          <w:kern w:val="0"/>
          <w:sz w:val="18"/>
          <w:szCs w:val="18"/>
        </w:rPr>
      </w:pPr>
      <w:r>
        <w:rPr>
          <w:rFonts w:hint="eastAsia" w:ascii="宋体" w:hAnsi="宋体" w:cs="宋体"/>
          <w:kern w:val="0"/>
          <w:sz w:val="18"/>
          <w:szCs w:val="18"/>
        </w:rPr>
        <w:t>（4）上市开放式基金(Listed Open-ended Funds,简称“LOF”)是一种既可以在场外市场进行基金份额申购赎回，又可以在交易所（场内市场）进行基金份额交易、申购或赎回的开放式基金。</w:t>
      </w:r>
    </w:p>
    <w:p>
      <w:pPr>
        <w:ind w:firstLine="360" w:firstLineChars="200"/>
        <w:rPr>
          <w:rFonts w:ascii="宋体" w:hAnsi="宋体" w:cs="宋体"/>
          <w:b/>
          <w:kern w:val="0"/>
          <w:sz w:val="18"/>
          <w:szCs w:val="18"/>
        </w:rPr>
      </w:pPr>
      <w:r>
        <w:rPr>
          <w:rFonts w:hint="eastAsia" w:ascii="宋体" w:hAnsi="宋体" w:cs="宋体"/>
          <w:kern w:val="0"/>
          <w:sz w:val="18"/>
          <w:szCs w:val="18"/>
        </w:rPr>
        <w:t>（</w:t>
      </w:r>
      <w:r>
        <w:rPr>
          <w:rFonts w:ascii="宋体" w:hAnsi="宋体" w:cs="宋体"/>
          <w:kern w:val="0"/>
          <w:sz w:val="18"/>
          <w:szCs w:val="18"/>
        </w:rPr>
        <w:t>5</w:t>
      </w:r>
      <w:r>
        <w:rPr>
          <w:rFonts w:hint="eastAsia" w:ascii="宋体" w:hAnsi="宋体" w:cs="宋体"/>
          <w:kern w:val="0"/>
          <w:sz w:val="18"/>
          <w:szCs w:val="18"/>
        </w:rPr>
        <w:t>）QDII基金。QDII是Qualified Domestic Institutional Investors的首字母缩写。是一种以境外证券市场为主要投资区域的证券投资基金，投资者可以用人民币或美元等外汇进行认购和申购，在承担境外市场相应投资风险的同时获取相应的投资收益。QDII基金与普通证券投资基金的最大区别在于投资范围不同。</w:t>
      </w:r>
    </w:p>
    <w:p>
      <w:pPr>
        <w:ind w:firstLine="360" w:firstLineChars="200"/>
        <w:rPr>
          <w:rFonts w:ascii="宋体" w:hAnsi="宋体" w:cs="宋体"/>
          <w:b/>
          <w:kern w:val="0"/>
          <w:sz w:val="18"/>
          <w:szCs w:val="18"/>
        </w:rPr>
      </w:pPr>
      <w:r>
        <w:rPr>
          <w:rFonts w:hint="eastAsia" w:ascii="宋体" w:hAnsi="宋体" w:cs="宋体"/>
          <w:kern w:val="0"/>
          <w:sz w:val="18"/>
          <w:szCs w:val="18"/>
        </w:rPr>
        <w:t>（6）分级基金。是指通过事先约定基金的风险收益分配，将基础份额分为预期风险收益不同的子份额，并可将其中部分或全部份额上市交易的结构化证券投资基金。</w:t>
      </w:r>
    </w:p>
    <w:p>
      <w:pPr>
        <w:ind w:firstLine="361" w:firstLineChars="200"/>
        <w:rPr>
          <w:rFonts w:ascii="宋体" w:hAnsi="宋体" w:cs="宋体"/>
          <w:b/>
          <w:kern w:val="0"/>
          <w:sz w:val="18"/>
          <w:szCs w:val="18"/>
        </w:rPr>
      </w:pPr>
      <w:r>
        <w:rPr>
          <w:rFonts w:hint="eastAsia" w:ascii="宋体" w:hAnsi="宋体" w:cs="宋体"/>
          <w:b/>
          <w:bCs/>
          <w:kern w:val="0"/>
          <w:sz w:val="18"/>
          <w:szCs w:val="18"/>
        </w:rPr>
        <w:t>（四）投资者分类</w:t>
      </w:r>
    </w:p>
    <w:p>
      <w:pPr>
        <w:ind w:firstLine="360" w:firstLineChars="200"/>
        <w:rPr>
          <w:rFonts w:ascii="宋体" w:hAnsi="宋体" w:cs="宋体"/>
          <w:b/>
          <w:kern w:val="0"/>
          <w:sz w:val="18"/>
          <w:szCs w:val="18"/>
        </w:rPr>
      </w:pPr>
      <w:r>
        <w:rPr>
          <w:rFonts w:hint="eastAsia" w:ascii="宋体" w:hAnsi="宋体" w:cs="宋体"/>
          <w:kern w:val="0"/>
          <w:sz w:val="18"/>
          <w:szCs w:val="18"/>
        </w:rPr>
        <w:t>根据《证券期货投资者适当性管理办法》第7条的规定，基金投资者分为普通投资者与专业投资者。普通投资者在信息告知、风险警示、适当性匹配等方面享有特别保护。</w:t>
      </w:r>
    </w:p>
    <w:p>
      <w:pPr>
        <w:ind w:firstLine="360" w:firstLineChars="200"/>
        <w:rPr>
          <w:rFonts w:ascii="宋体" w:hAnsi="宋体" w:cs="宋体"/>
          <w:b/>
          <w:kern w:val="0"/>
          <w:sz w:val="18"/>
          <w:szCs w:val="18"/>
        </w:rPr>
      </w:pPr>
      <w:r>
        <w:rPr>
          <w:rFonts w:hint="eastAsia" w:ascii="宋体" w:hAnsi="宋体" w:cs="宋体"/>
          <w:kern w:val="0"/>
          <w:sz w:val="18"/>
          <w:szCs w:val="18"/>
        </w:rPr>
        <w:t>投资者提交的证明材料可确认其符合下列任一条件的，本公司认定其为专业投资者。没有确凿证明材料可确认投资者符合下列任一条件的，本公司将其视为普通投资者。</w:t>
      </w:r>
    </w:p>
    <w:p>
      <w:pPr>
        <w:ind w:firstLine="360" w:firstLineChars="200"/>
        <w:rPr>
          <w:rFonts w:ascii="宋体" w:hAnsi="宋体" w:cs="宋体"/>
          <w:b/>
          <w:kern w:val="0"/>
          <w:sz w:val="18"/>
          <w:szCs w:val="18"/>
        </w:rPr>
      </w:pPr>
      <w:r>
        <w:rPr>
          <w:rFonts w:hint="eastAsia" w:ascii="宋体" w:hAnsi="宋体" w:cs="宋体"/>
          <w:kern w:val="0"/>
          <w:sz w:val="18"/>
          <w:szCs w:val="18"/>
        </w:rPr>
        <w:t>（1）经有关金融监管部门批准设立的金融机构，包括证券公司、期货公司、基金管理公司及其子公司、商业银行、保险公司、信托公司、财务公司等；经行业协会备案或者登记的证券公司子公司、期货公司子公司、私募基金管理人。</w:t>
      </w:r>
    </w:p>
    <w:p>
      <w:pPr>
        <w:ind w:firstLine="360" w:firstLineChars="200"/>
        <w:rPr>
          <w:rFonts w:ascii="宋体" w:hAnsi="宋体" w:cs="宋体"/>
          <w:kern w:val="0"/>
          <w:sz w:val="18"/>
          <w:szCs w:val="18"/>
        </w:rPr>
      </w:pPr>
      <w:r>
        <w:rPr>
          <w:rFonts w:hint="eastAsia" w:ascii="宋体" w:hAnsi="宋体" w:cs="宋体"/>
          <w:kern w:val="0"/>
          <w:sz w:val="18"/>
          <w:szCs w:val="18"/>
        </w:rPr>
        <w:t>（2）上述机构面向投资者发行的理财产品，包括但不限于证券公司资产管理产品、基金管理公司及其子公司产品、期货公司资产管理产品、银行理财产品、保险产品、信托产品、经行业协会备案的私募基金。</w:t>
      </w:r>
    </w:p>
    <w:p>
      <w:pPr>
        <w:ind w:firstLine="360" w:firstLineChars="200"/>
        <w:rPr>
          <w:rFonts w:ascii="宋体" w:hAnsi="宋体" w:cs="宋体"/>
          <w:b/>
          <w:kern w:val="0"/>
          <w:sz w:val="18"/>
          <w:szCs w:val="18"/>
        </w:rPr>
      </w:pPr>
      <w:r>
        <w:rPr>
          <w:rFonts w:hint="eastAsia" w:ascii="宋体" w:hAnsi="宋体" w:cs="宋体"/>
          <w:kern w:val="0"/>
          <w:sz w:val="18"/>
          <w:szCs w:val="18"/>
        </w:rPr>
        <w:t>（3）社会保障基金、企业年金等养老基金，慈善基金等社会公益基金，合格境外机构投资者（QFII）、人民币合格境外机构投资者（RQFII）。</w:t>
      </w:r>
    </w:p>
    <w:p>
      <w:pPr>
        <w:ind w:firstLine="360" w:firstLineChars="200"/>
        <w:rPr>
          <w:rFonts w:ascii="宋体" w:hAnsi="宋体" w:cs="宋体"/>
          <w:b/>
          <w:kern w:val="0"/>
          <w:sz w:val="18"/>
          <w:szCs w:val="18"/>
        </w:rPr>
      </w:pPr>
      <w:r>
        <w:rPr>
          <w:rFonts w:hint="eastAsia" w:ascii="宋体" w:hAnsi="宋体" w:cs="宋体"/>
          <w:kern w:val="0"/>
          <w:sz w:val="18"/>
          <w:szCs w:val="18"/>
        </w:rPr>
        <w:t>（4）同时符合下列条件的法人或者其他组织：</w:t>
      </w:r>
    </w:p>
    <w:p>
      <w:pPr>
        <w:ind w:firstLine="360" w:firstLineChars="200"/>
        <w:rPr>
          <w:rFonts w:ascii="宋体" w:hAnsi="宋体" w:cs="宋体"/>
          <w:b/>
          <w:kern w:val="0"/>
          <w:sz w:val="18"/>
          <w:szCs w:val="18"/>
        </w:rPr>
      </w:pPr>
      <w:r>
        <w:rPr>
          <w:rFonts w:hint="eastAsia" w:ascii="宋体" w:hAnsi="宋体" w:cs="宋体"/>
          <w:kern w:val="0"/>
          <w:sz w:val="18"/>
          <w:szCs w:val="18"/>
        </w:rPr>
        <w:t>1）最近1年末净资产不低于2000万元；</w:t>
      </w:r>
    </w:p>
    <w:p>
      <w:pPr>
        <w:ind w:firstLine="360" w:firstLineChars="200"/>
        <w:rPr>
          <w:rFonts w:ascii="宋体" w:hAnsi="宋体" w:cs="宋体"/>
          <w:b/>
          <w:kern w:val="0"/>
          <w:sz w:val="18"/>
          <w:szCs w:val="18"/>
        </w:rPr>
      </w:pPr>
      <w:r>
        <w:rPr>
          <w:rFonts w:hint="eastAsia" w:ascii="宋体" w:hAnsi="宋体" w:cs="宋体"/>
          <w:kern w:val="0"/>
          <w:sz w:val="18"/>
          <w:szCs w:val="18"/>
        </w:rPr>
        <w:t>2）最近1年末金融资产不低于1000万元；</w:t>
      </w:r>
    </w:p>
    <w:p>
      <w:pPr>
        <w:ind w:firstLine="360" w:firstLineChars="200"/>
        <w:rPr>
          <w:rFonts w:ascii="宋体" w:hAnsi="宋体" w:cs="宋体"/>
          <w:b/>
          <w:kern w:val="0"/>
          <w:sz w:val="18"/>
          <w:szCs w:val="18"/>
        </w:rPr>
      </w:pPr>
      <w:r>
        <w:rPr>
          <w:rFonts w:hint="eastAsia" w:ascii="宋体" w:hAnsi="宋体" w:cs="宋体"/>
          <w:kern w:val="0"/>
          <w:sz w:val="18"/>
          <w:szCs w:val="18"/>
        </w:rPr>
        <w:t>3）具有2年以上证券、基金、期货、黄金、外汇等投资经历。</w:t>
      </w:r>
    </w:p>
    <w:p>
      <w:pPr>
        <w:ind w:firstLine="360" w:firstLineChars="200"/>
        <w:rPr>
          <w:rFonts w:ascii="宋体" w:hAnsi="宋体" w:cs="宋体"/>
          <w:b/>
          <w:kern w:val="0"/>
          <w:sz w:val="18"/>
          <w:szCs w:val="18"/>
        </w:rPr>
      </w:pPr>
      <w:r>
        <w:rPr>
          <w:rFonts w:hint="eastAsia" w:ascii="宋体" w:hAnsi="宋体" w:cs="宋体"/>
          <w:kern w:val="0"/>
          <w:sz w:val="18"/>
          <w:szCs w:val="18"/>
        </w:rPr>
        <w:t>（5）同时符合下列条件的自然人：</w:t>
      </w:r>
    </w:p>
    <w:p>
      <w:pPr>
        <w:ind w:firstLine="360" w:firstLineChars="200"/>
        <w:rPr>
          <w:rFonts w:ascii="宋体" w:hAnsi="宋体" w:cs="宋体"/>
          <w:b/>
          <w:kern w:val="0"/>
          <w:sz w:val="18"/>
          <w:szCs w:val="18"/>
        </w:rPr>
      </w:pPr>
      <w:r>
        <w:rPr>
          <w:rFonts w:hint="eastAsia" w:ascii="宋体" w:hAnsi="宋体" w:cs="宋体"/>
          <w:kern w:val="0"/>
          <w:sz w:val="18"/>
          <w:szCs w:val="18"/>
        </w:rPr>
        <w:t>1）金融资产不低于500万元，或者最近3年个人年均收入不低于50万元；</w:t>
      </w:r>
    </w:p>
    <w:p>
      <w:pPr>
        <w:ind w:firstLine="360" w:firstLineChars="200"/>
        <w:rPr>
          <w:rFonts w:ascii="宋体" w:hAnsi="宋体" w:cs="宋体"/>
          <w:b/>
          <w:kern w:val="0"/>
          <w:sz w:val="18"/>
          <w:szCs w:val="18"/>
        </w:rPr>
      </w:pPr>
      <w:r>
        <w:rPr>
          <w:rFonts w:hint="eastAsia" w:ascii="宋体" w:hAnsi="宋体" w:cs="宋体"/>
          <w:kern w:val="0"/>
          <w:sz w:val="18"/>
          <w:szCs w:val="18"/>
        </w:rPr>
        <w:t>2）具有2年以上证券、基金、期货、黄金、外汇等投资经历，或者具有2年以上金融产品设计、投资、风险管理及相关工作经历，或者属于本条第（1）项规定的专业投资者的高级管理人员、获得职业资格认证的从事金融相关业务的注册会计师和律师。</w:t>
      </w:r>
    </w:p>
    <w:p>
      <w:pPr>
        <w:ind w:firstLine="360" w:firstLineChars="200"/>
        <w:rPr>
          <w:rFonts w:ascii="宋体" w:hAnsi="宋体" w:cs="宋体"/>
          <w:b/>
          <w:kern w:val="0"/>
          <w:sz w:val="18"/>
          <w:szCs w:val="18"/>
        </w:rPr>
      </w:pPr>
      <w:r>
        <w:rPr>
          <w:rFonts w:hint="eastAsia" w:ascii="宋体" w:hAnsi="宋体" w:cs="宋体"/>
          <w:kern w:val="0"/>
          <w:sz w:val="18"/>
          <w:szCs w:val="18"/>
        </w:rPr>
        <w:t>普通投资者和专业投资者在一定条件下可以互相转化。</w:t>
      </w:r>
    </w:p>
    <w:p>
      <w:pPr>
        <w:ind w:firstLine="360" w:firstLineChars="200"/>
        <w:rPr>
          <w:rFonts w:ascii="宋体" w:hAnsi="宋体" w:cs="宋体"/>
          <w:b/>
          <w:kern w:val="0"/>
          <w:sz w:val="18"/>
          <w:szCs w:val="18"/>
        </w:rPr>
      </w:pPr>
      <w:r>
        <w:rPr>
          <w:rFonts w:hint="eastAsia" w:ascii="宋体" w:hAnsi="宋体" w:cs="宋体"/>
          <w:kern w:val="0"/>
          <w:sz w:val="18"/>
          <w:szCs w:val="18"/>
        </w:rPr>
        <w:t>符合上述第（4）、（5）项规定的专业投资者，可以书面告知本公司选择成为普通投资者。</w:t>
      </w:r>
    </w:p>
    <w:p>
      <w:pPr>
        <w:ind w:firstLine="360" w:firstLineChars="200"/>
        <w:rPr>
          <w:rFonts w:ascii="宋体" w:hAnsi="宋体" w:cs="宋体"/>
          <w:b/>
          <w:kern w:val="0"/>
          <w:sz w:val="18"/>
          <w:szCs w:val="18"/>
        </w:rPr>
      </w:pPr>
      <w:r>
        <w:rPr>
          <w:rFonts w:hint="eastAsia" w:ascii="宋体" w:hAnsi="宋体" w:cs="宋体"/>
          <w:kern w:val="0"/>
          <w:sz w:val="18"/>
          <w:szCs w:val="18"/>
        </w:rPr>
        <w:t>符合下列条件之一的普通投资者可以申请转化成为专业投资者，但本公司有权自主决定是否同意该转化：</w:t>
      </w:r>
    </w:p>
    <w:p>
      <w:pPr>
        <w:ind w:firstLine="360" w:firstLineChars="200"/>
        <w:rPr>
          <w:rFonts w:ascii="宋体" w:hAnsi="宋体" w:cs="宋体"/>
          <w:b/>
          <w:kern w:val="0"/>
          <w:sz w:val="18"/>
          <w:szCs w:val="18"/>
        </w:rPr>
      </w:pPr>
      <w:r>
        <w:rPr>
          <w:rFonts w:hint="eastAsia" w:ascii="宋体" w:hAnsi="宋体" w:cs="宋体"/>
          <w:kern w:val="0"/>
          <w:sz w:val="18"/>
          <w:szCs w:val="18"/>
        </w:rPr>
        <w:t>（1）最近1年末净资产不低于1000万元，最近1年末金融资产不低于500万元，且具有1年以上证券、基金、期货、黄金、外汇等投资经历的除专业投资者外的法人或其他组织；</w:t>
      </w:r>
    </w:p>
    <w:p>
      <w:pPr>
        <w:ind w:firstLine="360" w:firstLineChars="200"/>
        <w:rPr>
          <w:rFonts w:ascii="宋体" w:hAnsi="宋体" w:cs="宋体"/>
          <w:b/>
          <w:kern w:val="0"/>
          <w:sz w:val="18"/>
          <w:szCs w:val="18"/>
        </w:rPr>
      </w:pPr>
      <w:r>
        <w:rPr>
          <w:rFonts w:hint="eastAsia" w:ascii="宋体" w:hAnsi="宋体" w:cs="宋体"/>
          <w:kern w:val="0"/>
          <w:sz w:val="18"/>
          <w:szCs w:val="18"/>
        </w:rPr>
        <w:t>（2）金融资产不低于300万元或者最近3年个人年均收入不低于30万元，且具有1年以上证券、基金、期货、黄金、外汇等投资经历或者1年以上金融产品设计、投资、风险管理及相关工作经历的自然人投资者。</w:t>
      </w:r>
    </w:p>
    <w:p>
      <w:pPr>
        <w:ind w:firstLine="360" w:firstLineChars="200"/>
        <w:rPr>
          <w:rFonts w:ascii="宋体" w:hAnsi="宋体" w:cs="宋体"/>
          <w:b/>
          <w:kern w:val="0"/>
          <w:sz w:val="18"/>
          <w:szCs w:val="18"/>
        </w:rPr>
      </w:pPr>
      <w:r>
        <w:rPr>
          <w:rFonts w:hint="eastAsia" w:ascii="宋体" w:hAnsi="宋体" w:cs="宋体"/>
          <w:kern w:val="0"/>
          <w:sz w:val="18"/>
          <w:szCs w:val="18"/>
        </w:rPr>
        <w:t>普通投资者申请成为专业投资者，应以书面形式向本公司提出申请并提供相关证明材料，确认自主承担可能产生的风险和后果。</w:t>
      </w:r>
    </w:p>
    <w:p>
      <w:pPr>
        <w:ind w:firstLine="361" w:firstLineChars="200"/>
        <w:rPr>
          <w:rFonts w:ascii="宋体" w:hAnsi="宋体" w:cs="宋体"/>
          <w:b/>
          <w:kern w:val="0"/>
          <w:sz w:val="18"/>
          <w:szCs w:val="18"/>
        </w:rPr>
      </w:pPr>
      <w:r>
        <w:rPr>
          <w:rFonts w:hint="eastAsia" w:ascii="宋体" w:hAnsi="宋体" w:cs="宋体"/>
          <w:b/>
          <w:kern w:val="0"/>
          <w:sz w:val="18"/>
          <w:szCs w:val="18"/>
        </w:rPr>
        <w:t>（五）基金评级</w:t>
      </w:r>
    </w:p>
    <w:p>
      <w:pPr>
        <w:ind w:firstLine="360" w:firstLineChars="200"/>
        <w:rPr>
          <w:rFonts w:ascii="宋体" w:hAnsi="宋体" w:cs="宋体"/>
          <w:b/>
          <w:kern w:val="0"/>
          <w:sz w:val="18"/>
          <w:szCs w:val="18"/>
        </w:rPr>
      </w:pPr>
      <w:r>
        <w:rPr>
          <w:rFonts w:hint="eastAsia" w:ascii="宋体" w:hAnsi="宋体" w:cs="宋体"/>
          <w:kern w:val="0"/>
          <w:sz w:val="18"/>
          <w:szCs w:val="18"/>
        </w:rPr>
        <w:t>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w:t>
      </w:r>
    </w:p>
    <w:p>
      <w:pPr>
        <w:ind w:firstLine="360" w:firstLineChars="200"/>
        <w:rPr>
          <w:rFonts w:ascii="宋体" w:hAnsi="宋体" w:cs="宋体"/>
          <w:b/>
          <w:kern w:val="0"/>
          <w:sz w:val="18"/>
          <w:szCs w:val="18"/>
        </w:rPr>
      </w:pPr>
      <w:r>
        <w:rPr>
          <w:rFonts w:hint="eastAsia" w:ascii="宋体" w:hAnsi="宋体" w:cs="宋体"/>
          <w:kern w:val="0"/>
          <w:sz w:val="18"/>
          <w:szCs w:val="18"/>
        </w:rPr>
        <w:t>本公司将根据《证券期货投资者适当性管理办法》，对基金产品进行风险评价。本公司将旗下基金产品风险等级划分方法及其说明在公司官网进行公示。</w:t>
      </w:r>
    </w:p>
    <w:p>
      <w:pPr>
        <w:ind w:firstLine="361" w:firstLineChars="200"/>
        <w:rPr>
          <w:rFonts w:ascii="宋体" w:hAnsi="宋体" w:cs="宋体"/>
          <w:b/>
          <w:kern w:val="0"/>
          <w:sz w:val="18"/>
          <w:szCs w:val="18"/>
        </w:rPr>
      </w:pPr>
      <w:r>
        <w:rPr>
          <w:rFonts w:hint="eastAsia" w:ascii="宋体" w:hAnsi="宋体" w:cs="宋体"/>
          <w:b/>
          <w:kern w:val="0"/>
          <w:sz w:val="18"/>
          <w:szCs w:val="18"/>
        </w:rPr>
        <w:t>（六）基金费用</w:t>
      </w:r>
    </w:p>
    <w:p>
      <w:pPr>
        <w:ind w:firstLine="360" w:firstLineChars="200"/>
        <w:rPr>
          <w:rFonts w:ascii="宋体" w:hAnsi="宋体" w:cs="宋体"/>
          <w:b/>
          <w:kern w:val="0"/>
          <w:sz w:val="18"/>
          <w:szCs w:val="18"/>
        </w:rPr>
      </w:pPr>
      <w:r>
        <w:rPr>
          <w:rFonts w:hint="eastAsia" w:ascii="宋体" w:hAnsi="宋体" w:cs="宋体"/>
          <w:kern w:val="0"/>
          <w:sz w:val="18"/>
          <w:szCs w:val="18"/>
        </w:rPr>
        <w:t>基金费用一般包括两大类：一类是在基金销售过程中发生的由基金投资人自己承担的费用，主要包括认购费、申购费、赎回费和基金转换费。这些费用一般直接在投资人认购、申购、赎回或转换时收取。其中申购费可在投资人购买基金时收取，即前端申购费；也可在投资人卖出基金时收取，即后端申购费，其费率一般按持有期限递减。另一类是在基金管理过程中发生的费用，主要包括基金管理费、基金托管费、信息披露费等，这些费用由基金承担。对于不收取申购、赎回费的货币市场基金和部分债券基金，还可按相关规定从基金资产中计提一定的销售服务费，专门用于基金的销售和对基金持有人的服务。</w:t>
      </w:r>
    </w:p>
    <w:p>
      <w:pPr>
        <w:ind w:firstLine="361" w:firstLineChars="200"/>
        <w:rPr>
          <w:rFonts w:ascii="宋体" w:hAnsi="宋体" w:cs="宋体"/>
          <w:b/>
          <w:kern w:val="0"/>
          <w:sz w:val="18"/>
          <w:szCs w:val="18"/>
        </w:rPr>
      </w:pPr>
      <w:r>
        <w:rPr>
          <w:rFonts w:hint="eastAsia" w:ascii="宋体" w:hAnsi="宋体" w:cs="宋体"/>
          <w:b/>
          <w:kern w:val="0"/>
          <w:sz w:val="18"/>
          <w:szCs w:val="18"/>
        </w:rPr>
        <w:t>二、基金份额持有人的权利</w:t>
      </w:r>
    </w:p>
    <w:p>
      <w:pPr>
        <w:ind w:firstLine="360" w:firstLineChars="200"/>
        <w:rPr>
          <w:rFonts w:ascii="宋体" w:hAnsi="宋体" w:cs="宋体"/>
          <w:b/>
          <w:kern w:val="0"/>
          <w:sz w:val="18"/>
          <w:szCs w:val="18"/>
        </w:rPr>
      </w:pPr>
      <w:r>
        <w:rPr>
          <w:rFonts w:hint="eastAsia" w:ascii="宋体" w:hAnsi="宋体" w:cs="宋体"/>
          <w:kern w:val="0"/>
          <w:sz w:val="18"/>
          <w:szCs w:val="18"/>
        </w:rPr>
        <w:t>根据《证券投资基金法》第</w:t>
      </w:r>
      <w:r>
        <w:rPr>
          <w:rFonts w:ascii="宋体" w:hAnsi="宋体" w:cs="宋体"/>
          <w:kern w:val="0"/>
          <w:sz w:val="18"/>
          <w:szCs w:val="18"/>
        </w:rPr>
        <w:t>46</w:t>
      </w:r>
      <w:r>
        <w:rPr>
          <w:rFonts w:hint="eastAsia" w:ascii="宋体" w:hAnsi="宋体" w:cs="宋体"/>
          <w:kern w:val="0"/>
          <w:sz w:val="18"/>
          <w:szCs w:val="18"/>
        </w:rPr>
        <w:t>条的规定，基金份额持有人享有下列权利：</w:t>
      </w:r>
    </w:p>
    <w:p>
      <w:pPr>
        <w:ind w:firstLine="360" w:firstLineChars="200"/>
        <w:rPr>
          <w:rFonts w:ascii="宋体" w:hAnsi="宋体" w:cs="宋体"/>
          <w:kern w:val="0"/>
          <w:sz w:val="18"/>
          <w:szCs w:val="18"/>
        </w:rPr>
      </w:pPr>
      <w:r>
        <w:rPr>
          <w:rFonts w:hint="eastAsia" w:ascii="宋体" w:hAnsi="宋体" w:cs="宋体"/>
          <w:kern w:val="0"/>
          <w:sz w:val="18"/>
          <w:szCs w:val="18"/>
        </w:rPr>
        <w:t>（一）分享基金财产收益；</w:t>
      </w:r>
    </w:p>
    <w:p>
      <w:pPr>
        <w:ind w:firstLine="360" w:firstLineChars="200"/>
        <w:rPr>
          <w:rFonts w:ascii="宋体" w:hAnsi="宋体" w:cs="宋体"/>
          <w:kern w:val="0"/>
          <w:sz w:val="18"/>
          <w:szCs w:val="18"/>
        </w:rPr>
      </w:pPr>
      <w:r>
        <w:rPr>
          <w:rFonts w:hint="eastAsia" w:ascii="宋体" w:hAnsi="宋体" w:cs="宋体"/>
          <w:kern w:val="0"/>
          <w:sz w:val="18"/>
          <w:szCs w:val="18"/>
        </w:rPr>
        <w:t>（二）参与分配清算后的剩余基金财产；</w:t>
      </w:r>
    </w:p>
    <w:p>
      <w:pPr>
        <w:ind w:firstLine="360" w:firstLineChars="200"/>
        <w:rPr>
          <w:rFonts w:ascii="宋体" w:hAnsi="宋体" w:cs="宋体"/>
          <w:kern w:val="0"/>
          <w:sz w:val="18"/>
          <w:szCs w:val="18"/>
        </w:rPr>
      </w:pPr>
      <w:r>
        <w:rPr>
          <w:rFonts w:hint="eastAsia" w:ascii="宋体" w:hAnsi="宋体" w:cs="宋体"/>
          <w:kern w:val="0"/>
          <w:sz w:val="18"/>
          <w:szCs w:val="18"/>
        </w:rPr>
        <w:t>（三）依法转让或申请赎回其持有的基金份额；</w:t>
      </w:r>
    </w:p>
    <w:p>
      <w:pPr>
        <w:ind w:firstLine="360" w:firstLineChars="200"/>
        <w:rPr>
          <w:rFonts w:ascii="宋体" w:hAnsi="宋体" w:cs="宋体"/>
          <w:kern w:val="0"/>
          <w:sz w:val="18"/>
          <w:szCs w:val="18"/>
        </w:rPr>
      </w:pPr>
      <w:r>
        <w:rPr>
          <w:rFonts w:hint="eastAsia" w:ascii="宋体" w:hAnsi="宋体" w:cs="宋体"/>
          <w:kern w:val="0"/>
          <w:sz w:val="18"/>
          <w:szCs w:val="18"/>
        </w:rPr>
        <w:t>（四）按照规定要求召开基金份额持有人大会或者召集基金份额持有人大会；</w:t>
      </w:r>
    </w:p>
    <w:p>
      <w:pPr>
        <w:ind w:firstLine="360" w:firstLineChars="200"/>
        <w:rPr>
          <w:rFonts w:ascii="宋体" w:hAnsi="宋体" w:cs="宋体"/>
          <w:kern w:val="0"/>
          <w:sz w:val="18"/>
          <w:szCs w:val="18"/>
        </w:rPr>
      </w:pPr>
      <w:r>
        <w:rPr>
          <w:rFonts w:hint="eastAsia" w:ascii="宋体" w:hAnsi="宋体" w:cs="宋体"/>
          <w:kern w:val="0"/>
          <w:sz w:val="18"/>
          <w:szCs w:val="18"/>
        </w:rPr>
        <w:t>（五）对基金份额持有人大会审议事项行使表决权；</w:t>
      </w:r>
    </w:p>
    <w:p>
      <w:pPr>
        <w:ind w:firstLine="360" w:firstLineChars="200"/>
        <w:rPr>
          <w:rFonts w:ascii="宋体" w:hAnsi="宋体" w:cs="宋体"/>
          <w:kern w:val="0"/>
          <w:sz w:val="18"/>
          <w:szCs w:val="18"/>
        </w:rPr>
      </w:pPr>
      <w:r>
        <w:rPr>
          <w:rFonts w:hint="eastAsia" w:ascii="宋体" w:hAnsi="宋体" w:cs="宋体"/>
          <w:kern w:val="0"/>
          <w:sz w:val="18"/>
          <w:szCs w:val="18"/>
        </w:rPr>
        <w:t>（六）对基金管理人、基金托管人、基金服务机构损害其合法权益的行为依法提起诉讼；</w:t>
      </w:r>
    </w:p>
    <w:p>
      <w:pPr>
        <w:ind w:firstLine="360" w:firstLineChars="200"/>
        <w:rPr>
          <w:rFonts w:ascii="宋体" w:hAnsi="宋体" w:cs="宋体"/>
          <w:kern w:val="0"/>
          <w:sz w:val="18"/>
          <w:szCs w:val="18"/>
        </w:rPr>
      </w:pPr>
      <w:r>
        <w:rPr>
          <w:rFonts w:hint="eastAsia" w:ascii="宋体" w:hAnsi="宋体" w:cs="宋体"/>
          <w:kern w:val="0"/>
          <w:sz w:val="18"/>
          <w:szCs w:val="18"/>
        </w:rPr>
        <w:t>（七）基金合同约定的其它权利。</w:t>
      </w:r>
    </w:p>
    <w:p>
      <w:pPr>
        <w:ind w:firstLine="360" w:firstLineChars="200"/>
        <w:rPr>
          <w:rFonts w:ascii="宋体" w:hAnsi="宋体" w:cs="宋体"/>
          <w:kern w:val="0"/>
          <w:sz w:val="18"/>
          <w:szCs w:val="18"/>
        </w:rPr>
      </w:pPr>
      <w:r>
        <w:rPr>
          <w:rFonts w:hint="eastAsia" w:ascii="宋体" w:hAnsi="宋体" w:cs="宋体"/>
          <w:kern w:val="0"/>
          <w:sz w:val="18"/>
          <w:szCs w:val="18"/>
        </w:rPr>
        <w:t>公开募集基金的基金份额持有人有权查阅或者复制公开披露的基金信息资料；非公开募集基金的基金份额持有人对涉及自身利益的情况，有权查阅基金的财务会计账簿等财务资料。</w:t>
      </w:r>
    </w:p>
    <w:p>
      <w:pPr>
        <w:ind w:firstLine="361" w:firstLineChars="200"/>
        <w:rPr>
          <w:rFonts w:ascii="宋体" w:hAnsi="宋体" w:cs="宋体"/>
          <w:kern w:val="0"/>
          <w:sz w:val="18"/>
          <w:szCs w:val="18"/>
        </w:rPr>
      </w:pPr>
      <w:r>
        <w:rPr>
          <w:rFonts w:hint="eastAsia" w:ascii="宋体" w:hAnsi="宋体" w:cs="宋体"/>
          <w:b/>
          <w:bCs/>
          <w:kern w:val="0"/>
          <w:sz w:val="18"/>
          <w:szCs w:val="18"/>
        </w:rPr>
        <w:t>三、证券投资基金投资者的义务</w:t>
      </w:r>
    </w:p>
    <w:p>
      <w:pPr>
        <w:ind w:firstLine="360" w:firstLineChars="200"/>
        <w:rPr>
          <w:rFonts w:ascii="宋体" w:hAnsi="宋体" w:cs="宋体"/>
          <w:kern w:val="0"/>
          <w:sz w:val="18"/>
          <w:szCs w:val="18"/>
        </w:rPr>
      </w:pPr>
      <w:r>
        <w:rPr>
          <w:rFonts w:hint="eastAsia" w:ascii="宋体" w:hAnsi="宋体" w:cs="宋体"/>
          <w:kern w:val="0"/>
          <w:sz w:val="18"/>
          <w:szCs w:val="18"/>
        </w:rPr>
        <w:t>根据《证券期货投资者适当性管理办法》第6条、33条的规定，投资者购买基金产品或者接受金融服务前，应当按规定提供以下信息，并确保所提供的信息真实、准确、完整。</w:t>
      </w:r>
    </w:p>
    <w:p>
      <w:pPr>
        <w:ind w:firstLine="360" w:firstLineChars="200"/>
        <w:rPr>
          <w:rFonts w:ascii="宋体" w:hAnsi="宋体" w:cs="宋体"/>
          <w:kern w:val="0"/>
          <w:sz w:val="18"/>
          <w:szCs w:val="18"/>
        </w:rPr>
      </w:pPr>
      <w:r>
        <w:rPr>
          <w:rFonts w:hint="eastAsia" w:ascii="宋体" w:hAnsi="宋体" w:cs="宋体"/>
          <w:kern w:val="0"/>
          <w:sz w:val="18"/>
          <w:szCs w:val="18"/>
        </w:rPr>
        <w:t>投资者根据规定所提供的以下信息发生重要变化、可能影响其分类或风险承受能力的，应当及时告知本公司。</w:t>
      </w:r>
    </w:p>
    <w:p>
      <w:pPr>
        <w:ind w:firstLine="360" w:firstLineChars="200"/>
        <w:rPr>
          <w:rFonts w:ascii="宋体" w:hAnsi="宋体" w:cs="宋体"/>
          <w:kern w:val="0"/>
          <w:sz w:val="18"/>
          <w:szCs w:val="18"/>
        </w:rPr>
      </w:pPr>
      <w:r>
        <w:rPr>
          <w:rFonts w:hint="eastAsia" w:ascii="宋体" w:hAnsi="宋体" w:cs="宋体"/>
          <w:kern w:val="0"/>
          <w:sz w:val="18"/>
          <w:szCs w:val="18"/>
        </w:rPr>
        <w:t>（一）自然人的姓名、住址、职业、年龄、联系方式，法人或者其他组织的名称、注册地址、办公地址、性质、资质及经营范围等基本信息；</w:t>
      </w:r>
    </w:p>
    <w:p>
      <w:pPr>
        <w:ind w:firstLine="360" w:firstLineChars="200"/>
        <w:rPr>
          <w:rFonts w:ascii="宋体" w:hAnsi="宋体" w:cs="宋体"/>
          <w:kern w:val="0"/>
          <w:sz w:val="18"/>
          <w:szCs w:val="18"/>
        </w:rPr>
      </w:pPr>
      <w:r>
        <w:rPr>
          <w:rFonts w:hint="eastAsia" w:ascii="宋体" w:hAnsi="宋体" w:cs="宋体"/>
          <w:kern w:val="0"/>
          <w:sz w:val="18"/>
          <w:szCs w:val="18"/>
        </w:rPr>
        <w:t>（二）收入来源和数额、资产、债务等财务状况；</w:t>
      </w:r>
    </w:p>
    <w:p>
      <w:pPr>
        <w:ind w:firstLine="360" w:firstLineChars="200"/>
        <w:rPr>
          <w:rFonts w:ascii="宋体" w:hAnsi="宋体" w:cs="宋体"/>
          <w:kern w:val="0"/>
          <w:sz w:val="18"/>
          <w:szCs w:val="18"/>
        </w:rPr>
      </w:pPr>
      <w:r>
        <w:rPr>
          <w:rFonts w:hint="eastAsia" w:ascii="宋体" w:hAnsi="宋体" w:cs="宋体"/>
          <w:kern w:val="0"/>
          <w:sz w:val="18"/>
          <w:szCs w:val="18"/>
        </w:rPr>
        <w:t>（三）投资相关的学习、工作经历及投资经验；</w:t>
      </w:r>
    </w:p>
    <w:p>
      <w:pPr>
        <w:ind w:firstLine="360" w:firstLineChars="200"/>
        <w:rPr>
          <w:rFonts w:ascii="宋体" w:hAnsi="宋体" w:cs="宋体"/>
          <w:kern w:val="0"/>
          <w:sz w:val="18"/>
          <w:szCs w:val="18"/>
        </w:rPr>
      </w:pPr>
      <w:r>
        <w:rPr>
          <w:rFonts w:hint="eastAsia" w:ascii="宋体" w:hAnsi="宋体" w:cs="宋体"/>
          <w:kern w:val="0"/>
          <w:sz w:val="18"/>
          <w:szCs w:val="18"/>
        </w:rPr>
        <w:t>（四）投资期限、品种、期望收益等投资目标；</w:t>
      </w:r>
    </w:p>
    <w:p>
      <w:pPr>
        <w:ind w:firstLine="360" w:firstLineChars="200"/>
        <w:rPr>
          <w:rFonts w:ascii="宋体" w:hAnsi="宋体" w:cs="宋体"/>
          <w:kern w:val="0"/>
          <w:sz w:val="18"/>
          <w:szCs w:val="18"/>
        </w:rPr>
      </w:pPr>
      <w:r>
        <w:rPr>
          <w:rFonts w:hint="eastAsia" w:ascii="宋体" w:hAnsi="宋体" w:cs="宋体"/>
          <w:kern w:val="0"/>
          <w:sz w:val="18"/>
          <w:szCs w:val="18"/>
        </w:rPr>
        <w:t>（五）风险偏好及可承受的损失；</w:t>
      </w:r>
    </w:p>
    <w:p>
      <w:pPr>
        <w:ind w:firstLine="360" w:firstLineChars="200"/>
        <w:rPr>
          <w:rFonts w:ascii="宋体" w:hAnsi="宋体" w:cs="宋体"/>
          <w:kern w:val="0"/>
          <w:sz w:val="18"/>
          <w:szCs w:val="18"/>
        </w:rPr>
      </w:pPr>
      <w:r>
        <w:rPr>
          <w:rFonts w:hint="eastAsia" w:ascii="宋体" w:hAnsi="宋体" w:cs="宋体"/>
          <w:kern w:val="0"/>
          <w:sz w:val="18"/>
          <w:szCs w:val="18"/>
        </w:rPr>
        <w:t>（六）诚信记录；</w:t>
      </w:r>
    </w:p>
    <w:p>
      <w:pPr>
        <w:ind w:firstLine="360" w:firstLineChars="200"/>
        <w:rPr>
          <w:rFonts w:ascii="宋体" w:hAnsi="宋体" w:cs="宋体"/>
          <w:kern w:val="0"/>
          <w:sz w:val="18"/>
          <w:szCs w:val="18"/>
        </w:rPr>
      </w:pPr>
      <w:r>
        <w:rPr>
          <w:rFonts w:hint="eastAsia" w:ascii="宋体" w:hAnsi="宋体" w:cs="宋体"/>
          <w:kern w:val="0"/>
          <w:sz w:val="18"/>
          <w:szCs w:val="18"/>
        </w:rPr>
        <w:t>（七）实际控制投资者的自然人和交易的实际受益人；</w:t>
      </w:r>
    </w:p>
    <w:p>
      <w:pPr>
        <w:ind w:firstLine="360" w:firstLineChars="200"/>
        <w:rPr>
          <w:rFonts w:ascii="宋体" w:hAnsi="宋体" w:cs="宋体"/>
          <w:kern w:val="0"/>
          <w:sz w:val="18"/>
          <w:szCs w:val="18"/>
        </w:rPr>
      </w:pPr>
      <w:r>
        <w:rPr>
          <w:rFonts w:hint="eastAsia" w:ascii="宋体" w:hAnsi="宋体" w:cs="宋体"/>
          <w:kern w:val="0"/>
          <w:sz w:val="18"/>
          <w:szCs w:val="18"/>
        </w:rPr>
        <w:t>（八）法律法规、自律规则规定的投资者准入要求相关信息；</w:t>
      </w:r>
    </w:p>
    <w:p>
      <w:pPr>
        <w:ind w:firstLine="360" w:firstLineChars="200"/>
        <w:rPr>
          <w:rFonts w:ascii="宋体" w:hAnsi="宋体" w:cs="宋体"/>
          <w:kern w:val="0"/>
          <w:sz w:val="18"/>
          <w:szCs w:val="18"/>
        </w:rPr>
      </w:pPr>
      <w:r>
        <w:rPr>
          <w:rFonts w:hint="eastAsia" w:ascii="宋体" w:hAnsi="宋体" w:cs="宋体"/>
          <w:kern w:val="0"/>
          <w:sz w:val="18"/>
          <w:szCs w:val="18"/>
        </w:rPr>
        <w:t>（九）其他必要信息。</w:t>
      </w:r>
    </w:p>
    <w:p>
      <w:pPr>
        <w:ind w:firstLine="360" w:firstLineChars="200"/>
        <w:rPr>
          <w:rFonts w:ascii="宋体" w:hAnsi="宋体" w:cs="宋体"/>
          <w:kern w:val="0"/>
          <w:sz w:val="18"/>
          <w:szCs w:val="18"/>
        </w:rPr>
      </w:pPr>
      <w:r>
        <w:rPr>
          <w:rFonts w:hint="eastAsia" w:ascii="宋体" w:hAnsi="宋体" w:cs="宋体"/>
          <w:kern w:val="0"/>
          <w:sz w:val="18"/>
          <w:szCs w:val="18"/>
        </w:rPr>
        <w:t>投资者应当就提供的信息不真实、不准确、不完整依法承担相应法律责任，本公司应按规定告知后果并拒绝向其销售基金产品或者提供金融服务。</w:t>
      </w:r>
    </w:p>
    <w:p>
      <w:pPr>
        <w:ind w:firstLine="361" w:firstLineChars="200"/>
        <w:rPr>
          <w:rFonts w:ascii="宋体" w:hAnsi="宋体" w:cs="宋体"/>
          <w:kern w:val="0"/>
          <w:sz w:val="18"/>
          <w:szCs w:val="18"/>
        </w:rPr>
      </w:pPr>
      <w:r>
        <w:rPr>
          <w:rFonts w:hint="eastAsia" w:ascii="宋体" w:hAnsi="宋体" w:cs="宋体"/>
          <w:b/>
          <w:kern w:val="0"/>
          <w:sz w:val="18"/>
          <w:szCs w:val="18"/>
        </w:rPr>
        <w:t>四、基金投资风险提示</w:t>
      </w:r>
    </w:p>
    <w:p>
      <w:pPr>
        <w:ind w:firstLine="361" w:firstLineChars="200"/>
        <w:rPr>
          <w:rFonts w:ascii="宋体" w:hAnsi="宋体" w:cs="宋体"/>
          <w:kern w:val="0"/>
          <w:sz w:val="18"/>
          <w:szCs w:val="18"/>
        </w:rPr>
      </w:pPr>
      <w:r>
        <w:rPr>
          <w:rFonts w:hint="eastAsia" w:ascii="宋体" w:hAnsi="宋体" w:cs="宋体"/>
          <w:b/>
          <w:kern w:val="0"/>
          <w:sz w:val="18"/>
          <w:szCs w:val="18"/>
        </w:rPr>
        <w:t>（一）基金投资风险</w:t>
      </w:r>
    </w:p>
    <w:p>
      <w:pPr>
        <w:ind w:firstLine="360" w:firstLineChars="200"/>
        <w:rPr>
          <w:rFonts w:ascii="宋体" w:hAnsi="宋体" w:cs="宋体"/>
          <w:kern w:val="0"/>
          <w:sz w:val="18"/>
          <w:szCs w:val="18"/>
        </w:rPr>
      </w:pPr>
      <w:r>
        <w:rPr>
          <w:rFonts w:hint="eastAsia" w:ascii="宋体" w:hAnsi="宋体" w:cs="宋体"/>
          <w:kern w:val="0"/>
          <w:sz w:val="18"/>
          <w:szCs w:val="18"/>
        </w:rPr>
        <w:t>1、证券投资基金是一种理财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pPr>
        <w:ind w:firstLine="360" w:firstLineChars="200"/>
        <w:rPr>
          <w:rFonts w:ascii="宋体" w:hAnsi="宋体" w:cs="宋体"/>
          <w:kern w:val="0"/>
          <w:sz w:val="18"/>
          <w:szCs w:val="18"/>
        </w:rPr>
      </w:pPr>
      <w:r>
        <w:rPr>
          <w:rFonts w:hint="eastAsia" w:ascii="宋体" w:hAnsi="宋体" w:cs="宋体"/>
          <w:kern w:val="0"/>
          <w:sz w:val="18"/>
          <w:szCs w:val="18"/>
        </w:rPr>
        <w:t>2、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定期开放基金百分之二十）时，投资人将可能无法及时赎回持有的全部基金份额。巨额赎回的触发情况等内容详见招募说明书及基金合同。</w:t>
      </w:r>
    </w:p>
    <w:p>
      <w:pPr>
        <w:ind w:firstLine="360" w:firstLineChars="200"/>
        <w:rPr>
          <w:rFonts w:ascii="宋体" w:hAnsi="宋体" w:cs="宋体"/>
          <w:kern w:val="0"/>
          <w:sz w:val="18"/>
          <w:szCs w:val="18"/>
        </w:rPr>
      </w:pPr>
      <w:r>
        <w:rPr>
          <w:rFonts w:hint="eastAsia" w:ascii="宋体" w:hAnsi="宋体" w:cs="宋体"/>
          <w:kern w:val="0"/>
          <w:sz w:val="18"/>
          <w:szCs w:val="18"/>
        </w:rPr>
        <w:t>3、基金投资人应当充分了解基金定期定额投资和零存整取等储蓄方式的区别。定期定额投资是引导投资人进行长期投资、平均投资成本的一种简单易行投资方式，但并不能规避基金投资所固有的风险，不能保证投资人获得收益，也不是替代储蓄的等效理财方式。</w:t>
      </w:r>
    </w:p>
    <w:p>
      <w:pPr>
        <w:ind w:firstLine="360" w:firstLineChars="200"/>
        <w:rPr>
          <w:rFonts w:ascii="宋体" w:hAnsi="宋体" w:cs="宋体"/>
          <w:kern w:val="0"/>
          <w:sz w:val="18"/>
          <w:szCs w:val="18"/>
        </w:rPr>
      </w:pPr>
      <w:r>
        <w:rPr>
          <w:rFonts w:hint="eastAsia" w:ascii="宋体" w:hAnsi="宋体" w:cs="宋体"/>
          <w:kern w:val="0"/>
          <w:sz w:val="18"/>
          <w:szCs w:val="18"/>
        </w:rPr>
        <w:t>4、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w:t>
      </w:r>
    </w:p>
    <w:p>
      <w:pPr>
        <w:ind w:firstLine="360" w:firstLineChars="200"/>
        <w:rPr>
          <w:rFonts w:ascii="宋体" w:hAnsi="宋体" w:cs="宋体"/>
          <w:kern w:val="0"/>
          <w:sz w:val="18"/>
          <w:szCs w:val="18"/>
        </w:rPr>
      </w:pPr>
      <w:r>
        <w:rPr>
          <w:rFonts w:hint="eastAsia" w:ascii="宋体" w:hAnsi="宋体" w:cs="宋体"/>
          <w:kern w:val="0"/>
          <w:sz w:val="18"/>
          <w:szCs w:val="18"/>
        </w:rPr>
        <w:t>5、本公司将对基金投资人的风险承受能力进行调查和评价，并根据基金投资人的风险承受能力推荐相应的基金品种，但我公司所做的推荐仅供投资人参考，投资人在投资基金前应认真阅读基金合同、基金招募说明书和基金产品资料概要等法律文件，自主判断基金的投资价值，应根据自身风险承受能力选择基金产品并自行承担投资基金的风险。以上风险提示事项仅为列举性质，未能详尽列明投资者投资基金所面临的全部风险和可能导致投资者资产损失的所有因素。投资者在投资基金前，应认真阅读并理解相关业务规则、招募说明书、基金合同、风险揭示书及各类基金管理人提供的相关警示, 以及本权益须知的全部内容，并独立做出是否购买基金的决定。</w:t>
      </w:r>
    </w:p>
    <w:p>
      <w:pPr>
        <w:ind w:firstLine="360" w:firstLineChars="200"/>
        <w:rPr>
          <w:rFonts w:ascii="宋体" w:hAnsi="宋体" w:cs="宋体"/>
          <w:kern w:val="0"/>
          <w:sz w:val="18"/>
          <w:szCs w:val="18"/>
        </w:rPr>
      </w:pPr>
      <w:r>
        <w:rPr>
          <w:rFonts w:hint="eastAsia" w:ascii="宋体" w:hAnsi="宋体" w:cs="宋体"/>
          <w:kern w:val="0"/>
          <w:sz w:val="18"/>
          <w:szCs w:val="18"/>
        </w:rPr>
        <w:t>6、根据《证券期货投资者适当性管理办法》第二十二条的规定，经本公司评估认定为风险承受能力最低类别的投资者不得购买风险等级为中低风险、中风险、中高风险、高风险的基金产品。</w:t>
      </w:r>
    </w:p>
    <w:p>
      <w:pPr>
        <w:ind w:firstLine="361" w:firstLineChars="200"/>
        <w:rPr>
          <w:rFonts w:ascii="宋体" w:hAnsi="宋体" w:cs="宋体"/>
          <w:b/>
          <w:kern w:val="0"/>
          <w:sz w:val="18"/>
          <w:szCs w:val="18"/>
        </w:rPr>
      </w:pPr>
      <w:r>
        <w:rPr>
          <w:rFonts w:hint="eastAsia" w:ascii="宋体" w:hAnsi="宋体" w:cs="宋体"/>
          <w:b/>
          <w:kern w:val="0"/>
          <w:sz w:val="18"/>
          <w:szCs w:val="18"/>
        </w:rPr>
        <w:t>（二）网上交易特有的系统风险提示</w:t>
      </w:r>
    </w:p>
    <w:p>
      <w:pPr>
        <w:ind w:firstLine="360" w:firstLineChars="200"/>
        <w:rPr>
          <w:rFonts w:ascii="宋体" w:hAnsi="宋体" w:cs="宋体"/>
          <w:kern w:val="0"/>
          <w:sz w:val="18"/>
          <w:szCs w:val="18"/>
        </w:rPr>
      </w:pPr>
      <w:r>
        <w:rPr>
          <w:rFonts w:hint="eastAsia" w:ascii="宋体" w:hAnsi="宋体" w:cs="宋体"/>
          <w:kern w:val="0"/>
          <w:sz w:val="18"/>
          <w:szCs w:val="18"/>
        </w:rPr>
        <w:t>基金网上交易系统存在风险，该风险包括但不限于：</w:t>
      </w:r>
    </w:p>
    <w:p>
      <w:pPr>
        <w:ind w:firstLine="360" w:firstLineChars="200"/>
        <w:rPr>
          <w:rFonts w:ascii="宋体" w:hAnsi="宋体" w:cs="宋体"/>
          <w:kern w:val="0"/>
          <w:sz w:val="18"/>
          <w:szCs w:val="18"/>
        </w:rPr>
      </w:pPr>
      <w:r>
        <w:rPr>
          <w:rFonts w:hint="eastAsia" w:ascii="宋体" w:hAnsi="宋体" w:cs="宋体"/>
          <w:kern w:val="0"/>
          <w:sz w:val="18"/>
          <w:szCs w:val="18"/>
        </w:rPr>
        <w:t>1、互联网是全球公共网络，并不受任何一个机构所控制。数据在互联网上传输的途径不是完全确定的，互联网本身并不是绝对安全可靠的环境。在互联网上传输的数据有可能被某些未经许可的个人、团体或机构通过某种渠道获得或篡改。</w:t>
      </w:r>
    </w:p>
    <w:p>
      <w:pPr>
        <w:ind w:firstLine="360" w:firstLineChars="200"/>
        <w:rPr>
          <w:rFonts w:ascii="宋体" w:hAnsi="宋体" w:cs="宋体"/>
          <w:kern w:val="0"/>
          <w:sz w:val="18"/>
          <w:szCs w:val="18"/>
        </w:rPr>
      </w:pPr>
      <w:r>
        <w:rPr>
          <w:rFonts w:hint="eastAsia" w:ascii="宋体" w:hAnsi="宋体" w:cs="宋体"/>
          <w:kern w:val="0"/>
          <w:sz w:val="18"/>
          <w:szCs w:val="18"/>
        </w:rPr>
        <w:t>2、互联网上的数据传输可能因通信繁忙出现延迟，或因其它原因出现中断、停顿或数据不完全、数据错误等情况，从而使交易出现错误、延迟、中断或停顿。</w:t>
      </w:r>
    </w:p>
    <w:p>
      <w:pPr>
        <w:ind w:firstLine="360" w:firstLineChars="200"/>
        <w:rPr>
          <w:rFonts w:ascii="宋体" w:hAnsi="宋体" w:cs="宋体"/>
          <w:kern w:val="0"/>
          <w:sz w:val="18"/>
          <w:szCs w:val="18"/>
        </w:rPr>
      </w:pPr>
      <w:r>
        <w:rPr>
          <w:rFonts w:hint="eastAsia" w:ascii="宋体" w:hAnsi="宋体" w:cs="宋体"/>
          <w:kern w:val="0"/>
          <w:sz w:val="18"/>
          <w:szCs w:val="18"/>
        </w:rPr>
        <w:t>3、因地震、火灾、台风及其它各种不可抗力因素引起的停电、网络系统故障、电脑故障等原因可能造成投资人的经济损失。</w:t>
      </w:r>
    </w:p>
    <w:p>
      <w:pPr>
        <w:ind w:firstLine="360" w:firstLineChars="200"/>
        <w:rPr>
          <w:rFonts w:ascii="宋体" w:hAnsi="宋体" w:cs="宋体"/>
          <w:kern w:val="0"/>
          <w:sz w:val="18"/>
          <w:szCs w:val="18"/>
        </w:rPr>
      </w:pPr>
      <w:r>
        <w:rPr>
          <w:rFonts w:hint="eastAsia" w:ascii="宋体" w:hAnsi="宋体" w:cs="宋体"/>
          <w:kern w:val="0"/>
          <w:sz w:val="18"/>
          <w:szCs w:val="18"/>
        </w:rPr>
        <w:t>4、互联网上发布的各种信息，包含但不限于分析、预测性资料，可能出现错误或被误导。</w:t>
      </w:r>
    </w:p>
    <w:p>
      <w:pPr>
        <w:ind w:firstLine="360" w:firstLineChars="200"/>
        <w:rPr>
          <w:rFonts w:ascii="宋体" w:hAnsi="宋体" w:cs="宋体"/>
          <w:kern w:val="0"/>
          <w:sz w:val="18"/>
          <w:szCs w:val="18"/>
        </w:rPr>
      </w:pPr>
      <w:r>
        <w:rPr>
          <w:rFonts w:hint="eastAsia" w:ascii="宋体" w:hAnsi="宋体" w:cs="宋体"/>
          <w:kern w:val="0"/>
          <w:sz w:val="18"/>
          <w:szCs w:val="18"/>
        </w:rPr>
        <w:t>5、投资人的基金网上交易身份可能会被泄露、仿冒或因投资人自身的疏忽造成账号或密码泄露，可能给投资人造成损失。</w:t>
      </w:r>
    </w:p>
    <w:p>
      <w:pPr>
        <w:ind w:firstLine="360" w:firstLineChars="200"/>
        <w:rPr>
          <w:rFonts w:ascii="宋体" w:hAnsi="宋体" w:cs="宋体"/>
          <w:kern w:val="0"/>
          <w:sz w:val="18"/>
          <w:szCs w:val="18"/>
        </w:rPr>
      </w:pPr>
      <w:r>
        <w:rPr>
          <w:rFonts w:hint="eastAsia" w:ascii="宋体" w:hAnsi="宋体" w:cs="宋体"/>
          <w:kern w:val="0"/>
          <w:sz w:val="18"/>
          <w:szCs w:val="18"/>
        </w:rPr>
        <w:t>6、投资人使用的计算机可能因存在性能缺陷、质量问题、计算机病毒、硬件故障及其它原因，而对投资人的交易登陆、交易时间或交易数据产生影响，给投资人造成损失。</w:t>
      </w:r>
    </w:p>
    <w:p>
      <w:pPr>
        <w:ind w:firstLine="360" w:firstLineChars="200"/>
        <w:rPr>
          <w:rFonts w:ascii="宋体" w:hAnsi="宋体" w:cs="宋体"/>
          <w:kern w:val="0"/>
          <w:sz w:val="18"/>
          <w:szCs w:val="18"/>
        </w:rPr>
      </w:pPr>
      <w:r>
        <w:rPr>
          <w:rFonts w:hint="eastAsia" w:ascii="宋体" w:hAnsi="宋体" w:cs="宋体"/>
          <w:kern w:val="0"/>
          <w:sz w:val="18"/>
          <w:szCs w:val="18"/>
        </w:rPr>
        <w:t>7、其它可能导致投资人损失的风险或事项。</w:t>
      </w:r>
    </w:p>
    <w:p>
      <w:pPr>
        <w:ind w:firstLine="360" w:firstLineChars="200"/>
        <w:rPr>
          <w:rFonts w:ascii="宋体" w:hAnsi="宋体" w:cs="宋体"/>
          <w:kern w:val="0"/>
          <w:sz w:val="18"/>
          <w:szCs w:val="18"/>
        </w:rPr>
      </w:pPr>
      <w:r>
        <w:rPr>
          <w:rFonts w:hint="eastAsia" w:ascii="宋体" w:hAnsi="宋体" w:cs="宋体"/>
          <w:kern w:val="0"/>
          <w:sz w:val="18"/>
          <w:szCs w:val="18"/>
        </w:rPr>
        <w:t>上述风险所导致的损失或责任，均应由投资人自行承担，本公司对此不承担任何责任。投资人有权通过第三方对本公司提供的信息进行核实。投资者一经使用本公司网上基金交易方式，即视为投资者已经完全了解并理解网上基金交易的风险，并且能够承担网上基金交易可能带来的风险或损失。尽管如此，本着对客户负责的态度，本公司承诺将采取先进的网络产品和技术措施，最大限度地保护客户资料和交易活动的安全。</w:t>
      </w:r>
    </w:p>
    <w:p>
      <w:pPr>
        <w:ind w:firstLine="360" w:firstLineChars="200"/>
        <w:rPr>
          <w:rFonts w:ascii="宋体" w:hAnsi="宋体" w:cs="宋体"/>
          <w:kern w:val="0"/>
          <w:sz w:val="18"/>
          <w:szCs w:val="18"/>
        </w:rPr>
      </w:pPr>
      <w:r>
        <w:rPr>
          <w:rFonts w:hint="eastAsia" w:ascii="宋体" w:hAnsi="宋体" w:cs="宋体"/>
          <w:kern w:val="0"/>
          <w:sz w:val="18"/>
          <w:szCs w:val="18"/>
        </w:rPr>
        <w:t>投资人申请使用网上交易系统前，投资人应认真阅读有关协议，了解网上交易的固有风险。请投资人慎重选择并妥善保管网上交易信息，特别是基金账号、账户密码、证书等身份数据。</w:t>
      </w:r>
    </w:p>
    <w:p>
      <w:pPr>
        <w:ind w:firstLine="360" w:firstLineChars="200"/>
        <w:rPr>
          <w:rFonts w:ascii="宋体" w:hAnsi="宋体" w:cs="宋体"/>
          <w:kern w:val="0"/>
          <w:sz w:val="18"/>
          <w:szCs w:val="18"/>
        </w:rPr>
      </w:pPr>
      <w:r>
        <w:rPr>
          <w:rFonts w:hint="eastAsia" w:ascii="宋体" w:hAnsi="宋体" w:cs="宋体"/>
          <w:kern w:val="0"/>
          <w:sz w:val="18"/>
          <w:szCs w:val="18"/>
        </w:rPr>
        <w:t>本公司在此郑重提醒投资者，以上各条款均为免责条款，本公司网上交易系统不承担与此相关的任何损失和法律责任。</w:t>
      </w:r>
    </w:p>
    <w:p>
      <w:pPr>
        <w:ind w:firstLine="361" w:firstLineChars="200"/>
        <w:rPr>
          <w:rFonts w:ascii="宋体" w:hAnsi="宋体" w:cs="宋体"/>
          <w:b/>
          <w:kern w:val="0"/>
          <w:sz w:val="18"/>
          <w:szCs w:val="18"/>
        </w:rPr>
      </w:pPr>
      <w:r>
        <w:rPr>
          <w:rFonts w:hint="eastAsia" w:ascii="宋体" w:hAnsi="宋体" w:cs="宋体"/>
          <w:b/>
          <w:kern w:val="0"/>
          <w:sz w:val="18"/>
          <w:szCs w:val="18"/>
        </w:rPr>
        <w:t>五、服务内容和收费方式</w:t>
      </w:r>
    </w:p>
    <w:p>
      <w:pPr>
        <w:ind w:firstLine="360" w:firstLineChars="200"/>
        <w:rPr>
          <w:rFonts w:ascii="宋体" w:hAnsi="宋体" w:cs="宋体"/>
          <w:b/>
          <w:kern w:val="0"/>
          <w:sz w:val="18"/>
          <w:szCs w:val="18"/>
        </w:rPr>
      </w:pPr>
      <w:r>
        <w:rPr>
          <w:rFonts w:hint="eastAsia" w:ascii="宋体" w:hAnsi="宋体" w:cs="宋体"/>
          <w:kern w:val="0"/>
          <w:sz w:val="18"/>
          <w:szCs w:val="18"/>
        </w:rPr>
        <w:t>我公司向基金投资人提供以下服务：</w:t>
      </w:r>
    </w:p>
    <w:p>
      <w:pPr>
        <w:ind w:firstLine="360" w:firstLineChars="200"/>
        <w:rPr>
          <w:rFonts w:ascii="宋体" w:hAnsi="宋体" w:cs="宋体"/>
          <w:b/>
          <w:kern w:val="0"/>
          <w:sz w:val="18"/>
          <w:szCs w:val="18"/>
        </w:rPr>
      </w:pPr>
      <w:r>
        <w:rPr>
          <w:rFonts w:hint="eastAsia" w:ascii="宋体" w:hAnsi="宋体" w:cs="宋体"/>
          <w:kern w:val="0"/>
          <w:sz w:val="18"/>
          <w:szCs w:val="18"/>
        </w:rPr>
        <w:t>（一）对基金投资人的风险承受能力进行调查和评价，提出适合何种风险等级基金产品的适当性匹配意见</w:t>
      </w:r>
    </w:p>
    <w:p>
      <w:pPr>
        <w:ind w:firstLine="360" w:firstLineChars="200"/>
        <w:rPr>
          <w:rFonts w:ascii="宋体" w:hAnsi="宋体" w:cs="宋体"/>
          <w:b/>
          <w:kern w:val="0"/>
          <w:sz w:val="18"/>
          <w:szCs w:val="18"/>
        </w:rPr>
      </w:pPr>
      <w:r>
        <w:rPr>
          <w:rFonts w:hint="eastAsia" w:ascii="宋体" w:hAnsi="宋体" w:cs="宋体"/>
          <w:kern w:val="0"/>
          <w:sz w:val="18"/>
          <w:szCs w:val="18"/>
        </w:rPr>
        <w:t>（二）基金销售业务，包括基金账户开户、基金申（认）购、基金赎回、基金转换（限开通转换业务的基金）、定额定投（限开通定投业务的银行卡）、交易撤单、修改基金分红方式、基金账户非关键（指联系电话/手机/邮件/通讯地址等）资料修改、交易密码修改和查询等。我公司根据每只基金的发行公告及基金管理公司发布的其它相关公告收取相应的申（认）购、赎回费和转换费</w:t>
      </w:r>
    </w:p>
    <w:p>
      <w:pPr>
        <w:ind w:firstLine="360" w:firstLineChars="200"/>
        <w:rPr>
          <w:rFonts w:ascii="宋体" w:hAnsi="宋体" w:cs="宋体"/>
          <w:b/>
          <w:kern w:val="0"/>
          <w:sz w:val="18"/>
          <w:szCs w:val="18"/>
        </w:rPr>
      </w:pPr>
      <w:r>
        <w:rPr>
          <w:rFonts w:hint="eastAsia" w:ascii="宋体" w:hAnsi="宋体" w:cs="宋体"/>
          <w:kern w:val="0"/>
          <w:sz w:val="18"/>
          <w:szCs w:val="18"/>
        </w:rPr>
        <w:t>（三）基金网上交易服务</w:t>
      </w:r>
    </w:p>
    <w:p>
      <w:pPr>
        <w:ind w:firstLine="360" w:firstLineChars="200"/>
        <w:rPr>
          <w:rFonts w:ascii="宋体" w:hAnsi="宋体" w:cs="宋体"/>
          <w:b/>
          <w:kern w:val="0"/>
          <w:sz w:val="18"/>
          <w:szCs w:val="18"/>
        </w:rPr>
      </w:pPr>
      <w:r>
        <w:rPr>
          <w:rFonts w:hint="eastAsia" w:ascii="宋体" w:hAnsi="宋体" w:cs="宋体"/>
          <w:kern w:val="0"/>
          <w:sz w:val="18"/>
          <w:szCs w:val="18"/>
        </w:rPr>
        <w:t>本公司目前仅对个人投资者持有已开通网上交易的银行卡客户提供基金网上交易服务，包括基金（交易）账户开立、认购、申购、赎回、基金转换（限开通转换业务的基金）、定额定投（限开通定投业务的银行卡）、交易撤单、修改基金分红方式、基金账户非关键（指联系电话/手机/邮件/通讯地址等）资料修改、交易密码修改和查询等服务；</w:t>
      </w:r>
    </w:p>
    <w:p>
      <w:pPr>
        <w:ind w:firstLine="360" w:firstLineChars="200"/>
        <w:rPr>
          <w:rFonts w:ascii="宋体" w:hAnsi="宋体" w:cs="宋体"/>
          <w:b/>
          <w:kern w:val="0"/>
          <w:sz w:val="18"/>
          <w:szCs w:val="18"/>
        </w:rPr>
      </w:pPr>
      <w:r>
        <w:rPr>
          <w:rFonts w:hint="eastAsia" w:ascii="宋体" w:hAnsi="宋体" w:cs="宋体"/>
          <w:kern w:val="0"/>
          <w:sz w:val="18"/>
          <w:szCs w:val="18"/>
        </w:rPr>
        <w:t>投资人申请使用网上交易业务前，应认真阅读有关网上交易的协议与规则，了解网上交易的固有风险；请投资人慎重选择交易方式，并妥善保管网上交易信息，特别是基金账号、账户密码和证书等身份、交易信息。</w:t>
      </w:r>
    </w:p>
    <w:p>
      <w:pPr>
        <w:ind w:firstLine="360" w:firstLineChars="200"/>
        <w:rPr>
          <w:rFonts w:ascii="宋体" w:hAnsi="宋体" w:cs="宋体"/>
          <w:kern w:val="0"/>
          <w:sz w:val="18"/>
          <w:szCs w:val="18"/>
        </w:rPr>
      </w:pPr>
      <w:r>
        <w:rPr>
          <w:rFonts w:hint="eastAsia" w:ascii="宋体" w:hAnsi="宋体" w:cs="宋体"/>
          <w:kern w:val="0"/>
          <w:sz w:val="18"/>
          <w:szCs w:val="18"/>
        </w:rPr>
        <w:t>（四）基金投资咨询服务</w:t>
      </w:r>
    </w:p>
    <w:p>
      <w:pPr>
        <w:ind w:firstLine="360" w:firstLineChars="200"/>
        <w:rPr>
          <w:rFonts w:ascii="宋体" w:hAnsi="宋体" w:cs="宋体"/>
          <w:kern w:val="0"/>
          <w:sz w:val="18"/>
          <w:szCs w:val="18"/>
        </w:rPr>
      </w:pPr>
      <w:r>
        <w:rPr>
          <w:rFonts w:hint="eastAsia" w:ascii="宋体" w:hAnsi="宋体" w:cs="宋体"/>
          <w:kern w:val="0"/>
          <w:sz w:val="18"/>
          <w:szCs w:val="18"/>
        </w:rPr>
        <w:t>（五）短信及邮件服务，包括基金净值、分红信息、交易确认等服务</w:t>
      </w:r>
    </w:p>
    <w:p>
      <w:pPr>
        <w:ind w:firstLine="360" w:firstLineChars="200"/>
        <w:rPr>
          <w:rFonts w:ascii="宋体" w:hAnsi="宋体" w:cs="宋体"/>
          <w:kern w:val="0"/>
          <w:sz w:val="18"/>
          <w:szCs w:val="18"/>
        </w:rPr>
      </w:pPr>
      <w:r>
        <w:rPr>
          <w:rFonts w:hint="eastAsia" w:ascii="宋体" w:hAnsi="宋体" w:cs="宋体"/>
          <w:kern w:val="0"/>
          <w:sz w:val="18"/>
          <w:szCs w:val="18"/>
        </w:rPr>
        <w:t>短信及邮件服务需要投资人自行订制，如客户致电客服中心或以邮件、短信和留言等方式取消短信邮件服务的，该服务将不再进行发送。</w:t>
      </w:r>
    </w:p>
    <w:p>
      <w:pPr>
        <w:ind w:firstLine="360" w:firstLineChars="200"/>
        <w:rPr>
          <w:rFonts w:ascii="宋体" w:hAnsi="宋体" w:cs="宋体"/>
          <w:kern w:val="0"/>
          <w:sz w:val="18"/>
          <w:szCs w:val="18"/>
        </w:rPr>
      </w:pPr>
      <w:r>
        <w:rPr>
          <w:rFonts w:hint="eastAsia" w:ascii="宋体" w:hAnsi="宋体" w:cs="宋体"/>
          <w:kern w:val="0"/>
          <w:sz w:val="18"/>
          <w:szCs w:val="18"/>
        </w:rPr>
        <w:t>（六）电话咨询</w:t>
      </w:r>
    </w:p>
    <w:p>
      <w:pPr>
        <w:ind w:firstLine="360" w:firstLineChars="200"/>
        <w:rPr>
          <w:rFonts w:ascii="宋体" w:hAnsi="宋体" w:cs="宋体"/>
          <w:kern w:val="0"/>
          <w:sz w:val="18"/>
          <w:szCs w:val="18"/>
        </w:rPr>
      </w:pPr>
      <w:r>
        <w:rPr>
          <w:rFonts w:hint="eastAsia" w:ascii="宋体" w:hAnsi="宋体" w:cs="宋体"/>
          <w:kern w:val="0"/>
          <w:sz w:val="18"/>
          <w:szCs w:val="18"/>
        </w:rPr>
        <w:t>本公司客户服务中心电话：【400-819-0789】（免长途费）；直销咨询电话：【010-59315659】。</w:t>
      </w:r>
    </w:p>
    <w:p>
      <w:pPr>
        <w:ind w:firstLine="360" w:firstLineChars="200"/>
        <w:rPr>
          <w:rFonts w:ascii="宋体" w:hAnsi="宋体" w:cs="宋体"/>
          <w:kern w:val="0"/>
          <w:sz w:val="18"/>
          <w:szCs w:val="18"/>
        </w:rPr>
      </w:pPr>
      <w:r>
        <w:rPr>
          <w:rFonts w:hint="eastAsia" w:ascii="宋体" w:hAnsi="宋体" w:cs="宋体"/>
          <w:kern w:val="0"/>
          <w:sz w:val="18"/>
          <w:szCs w:val="18"/>
        </w:rPr>
        <w:t>（七）基金知识普及和风险教育</w:t>
      </w:r>
    </w:p>
    <w:p>
      <w:pPr>
        <w:ind w:firstLine="360" w:firstLineChars="200"/>
        <w:rPr>
          <w:rFonts w:ascii="宋体" w:hAnsi="宋体" w:cs="宋体"/>
          <w:kern w:val="0"/>
          <w:sz w:val="18"/>
          <w:szCs w:val="18"/>
        </w:rPr>
      </w:pPr>
      <w:r>
        <w:rPr>
          <w:rFonts w:hint="eastAsia" w:ascii="宋体" w:hAnsi="宋体" w:cs="宋体"/>
          <w:kern w:val="0"/>
          <w:sz w:val="18"/>
          <w:szCs w:val="18"/>
        </w:rPr>
        <w:t>更多基金投资者服务内容及详情请见基金相关法律文件及本公司最新公告。</w:t>
      </w:r>
    </w:p>
    <w:p>
      <w:pPr>
        <w:ind w:firstLine="361" w:firstLineChars="200"/>
        <w:rPr>
          <w:rFonts w:ascii="宋体" w:hAnsi="宋体" w:cs="宋体"/>
          <w:b/>
          <w:kern w:val="0"/>
          <w:sz w:val="18"/>
          <w:szCs w:val="18"/>
        </w:rPr>
      </w:pPr>
      <w:r>
        <w:rPr>
          <w:rFonts w:hint="eastAsia" w:ascii="宋体" w:hAnsi="宋体" w:cs="宋体"/>
          <w:b/>
          <w:kern w:val="0"/>
          <w:sz w:val="18"/>
          <w:szCs w:val="18"/>
        </w:rPr>
        <w:t>六、基金交易业务流程</w:t>
      </w:r>
    </w:p>
    <w:p>
      <w:pPr>
        <w:ind w:firstLine="360" w:firstLineChars="200"/>
        <w:rPr>
          <w:rFonts w:ascii="宋体" w:hAnsi="宋体" w:cs="宋体"/>
          <w:kern w:val="0"/>
          <w:sz w:val="18"/>
          <w:szCs w:val="18"/>
        </w:rPr>
      </w:pPr>
      <w:r>
        <w:rPr>
          <w:rFonts w:hint="eastAsia" w:ascii="宋体" w:hAnsi="宋体" w:cs="宋体"/>
          <w:kern w:val="0"/>
          <w:sz w:val="18"/>
          <w:szCs w:val="18"/>
        </w:rPr>
        <w:t xml:space="preserve">投资者可通过我司办理以下基金业务： </w:t>
      </w:r>
    </w:p>
    <w:p>
      <w:pPr>
        <w:ind w:firstLine="360" w:firstLineChars="200"/>
        <w:rPr>
          <w:rFonts w:ascii="宋体" w:hAnsi="宋体" w:cs="宋体"/>
          <w:kern w:val="0"/>
          <w:sz w:val="18"/>
          <w:szCs w:val="18"/>
        </w:rPr>
      </w:pPr>
      <w:r>
        <w:rPr>
          <w:rFonts w:hint="eastAsia" w:ascii="宋体" w:hAnsi="宋体" w:cs="宋体"/>
          <w:kern w:val="0"/>
          <w:sz w:val="18"/>
          <w:szCs w:val="18"/>
        </w:rPr>
        <w:t>(一）账户类业务</w:t>
      </w:r>
    </w:p>
    <w:p>
      <w:pPr>
        <w:ind w:firstLine="360" w:firstLineChars="200"/>
        <w:rPr>
          <w:rFonts w:ascii="宋体" w:hAnsi="宋体" w:cs="宋体"/>
          <w:kern w:val="0"/>
          <w:sz w:val="18"/>
          <w:szCs w:val="18"/>
        </w:rPr>
      </w:pPr>
      <w:r>
        <w:rPr>
          <w:rFonts w:hint="eastAsia" w:ascii="宋体" w:hAnsi="宋体" w:cs="宋体"/>
          <w:kern w:val="0"/>
          <w:sz w:val="18"/>
          <w:szCs w:val="18"/>
        </w:rPr>
        <w:t>1、基金账户开户；</w:t>
      </w:r>
    </w:p>
    <w:p>
      <w:pPr>
        <w:ind w:firstLine="360" w:firstLineChars="200"/>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、基金账号的登记；</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、资料变更；</w:t>
      </w:r>
    </w:p>
    <w:p>
      <w:pPr>
        <w:ind w:firstLine="360" w:firstLineChars="200"/>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、销户。</w:t>
      </w:r>
    </w:p>
    <w:p>
      <w:pPr>
        <w:ind w:firstLine="360" w:firstLineChars="200"/>
        <w:rPr>
          <w:rFonts w:ascii="宋体" w:hAnsi="宋体" w:cs="宋体"/>
          <w:kern w:val="0"/>
          <w:sz w:val="18"/>
          <w:szCs w:val="18"/>
        </w:rPr>
      </w:pPr>
      <w:r>
        <w:rPr>
          <w:rFonts w:hint="eastAsia" w:ascii="宋体" w:hAnsi="宋体" w:cs="宋体"/>
          <w:kern w:val="0"/>
          <w:sz w:val="18"/>
          <w:szCs w:val="18"/>
        </w:rPr>
        <w:t>（二）交易类业务</w:t>
      </w:r>
    </w:p>
    <w:p>
      <w:pPr>
        <w:ind w:firstLine="360" w:firstLineChars="200"/>
        <w:rPr>
          <w:rFonts w:ascii="宋体" w:hAnsi="宋体" w:cs="宋体"/>
          <w:kern w:val="0"/>
          <w:sz w:val="18"/>
          <w:szCs w:val="18"/>
        </w:rPr>
      </w:pPr>
      <w:r>
        <w:rPr>
          <w:rFonts w:hint="eastAsia" w:ascii="宋体" w:hAnsi="宋体" w:cs="宋体"/>
          <w:kern w:val="0"/>
          <w:sz w:val="18"/>
          <w:szCs w:val="18"/>
        </w:rPr>
        <w:t>1、认购；</w:t>
      </w:r>
    </w:p>
    <w:p>
      <w:pPr>
        <w:ind w:firstLine="360" w:firstLineChars="200"/>
        <w:rPr>
          <w:rFonts w:ascii="宋体" w:hAnsi="宋体" w:cs="宋体"/>
          <w:kern w:val="0"/>
          <w:sz w:val="18"/>
          <w:szCs w:val="18"/>
        </w:rPr>
      </w:pPr>
      <w:r>
        <w:rPr>
          <w:rFonts w:hint="eastAsia" w:ascii="宋体" w:hAnsi="宋体" w:cs="宋体"/>
          <w:kern w:val="0"/>
          <w:sz w:val="18"/>
          <w:szCs w:val="18"/>
        </w:rPr>
        <w:t>2、申购；</w:t>
      </w:r>
    </w:p>
    <w:p>
      <w:pPr>
        <w:ind w:firstLine="360" w:firstLineChars="200"/>
        <w:rPr>
          <w:rFonts w:ascii="宋体" w:hAnsi="宋体" w:cs="宋体"/>
          <w:kern w:val="0"/>
          <w:sz w:val="18"/>
          <w:szCs w:val="18"/>
        </w:rPr>
      </w:pPr>
      <w:r>
        <w:rPr>
          <w:rFonts w:hint="eastAsia" w:ascii="宋体" w:hAnsi="宋体" w:cs="宋体"/>
          <w:kern w:val="0"/>
          <w:sz w:val="18"/>
          <w:szCs w:val="18"/>
        </w:rPr>
        <w:t>3、赎回；</w:t>
      </w:r>
    </w:p>
    <w:p>
      <w:pPr>
        <w:ind w:firstLine="360" w:firstLineChars="200"/>
        <w:rPr>
          <w:rFonts w:ascii="宋体" w:hAnsi="宋体" w:cs="宋体"/>
          <w:kern w:val="0"/>
          <w:sz w:val="18"/>
          <w:szCs w:val="18"/>
        </w:rPr>
      </w:pPr>
      <w:r>
        <w:rPr>
          <w:rFonts w:hint="eastAsia" w:ascii="宋体" w:hAnsi="宋体" w:cs="宋体"/>
          <w:kern w:val="0"/>
          <w:sz w:val="18"/>
          <w:szCs w:val="18"/>
        </w:rPr>
        <w:t>4、基金转换；</w:t>
      </w:r>
    </w:p>
    <w:p>
      <w:pPr>
        <w:ind w:firstLine="360" w:firstLineChars="200"/>
        <w:rPr>
          <w:rFonts w:ascii="宋体" w:hAnsi="宋体" w:cs="宋体"/>
          <w:kern w:val="0"/>
          <w:sz w:val="18"/>
          <w:szCs w:val="18"/>
        </w:rPr>
      </w:pPr>
      <w:r>
        <w:rPr>
          <w:rFonts w:hint="eastAsia" w:ascii="宋体" w:hAnsi="宋体" w:cs="宋体"/>
          <w:kern w:val="0"/>
          <w:sz w:val="18"/>
          <w:szCs w:val="18"/>
        </w:rPr>
        <w:t>5、非交易过户；</w:t>
      </w:r>
    </w:p>
    <w:p>
      <w:pPr>
        <w:ind w:firstLine="360" w:firstLineChars="200"/>
        <w:rPr>
          <w:rFonts w:ascii="宋体" w:hAnsi="宋体" w:cs="宋体"/>
          <w:kern w:val="0"/>
          <w:sz w:val="18"/>
          <w:szCs w:val="18"/>
        </w:rPr>
      </w:pPr>
      <w:r>
        <w:rPr>
          <w:rFonts w:hint="eastAsia" w:ascii="宋体" w:hAnsi="宋体" w:cs="宋体"/>
          <w:kern w:val="0"/>
          <w:sz w:val="18"/>
          <w:szCs w:val="18"/>
        </w:rPr>
        <w:t>6、基金转托管。</w:t>
      </w:r>
    </w:p>
    <w:p>
      <w:pPr>
        <w:ind w:firstLine="360" w:firstLineChars="200"/>
        <w:rPr>
          <w:rFonts w:ascii="宋体" w:hAnsi="宋体" w:cs="宋体"/>
          <w:kern w:val="0"/>
          <w:sz w:val="18"/>
          <w:szCs w:val="18"/>
        </w:rPr>
      </w:pPr>
      <w:r>
        <w:rPr>
          <w:rFonts w:hint="eastAsia" w:ascii="宋体" w:hAnsi="宋体" w:cs="宋体"/>
          <w:kern w:val="0"/>
          <w:sz w:val="18"/>
          <w:szCs w:val="18"/>
        </w:rPr>
        <w:t>（三）特殊交易</w:t>
      </w:r>
    </w:p>
    <w:p>
      <w:pPr>
        <w:ind w:firstLine="360" w:firstLineChars="200"/>
        <w:rPr>
          <w:rFonts w:ascii="宋体" w:hAnsi="宋体" w:cs="宋体"/>
          <w:kern w:val="0"/>
          <w:sz w:val="18"/>
          <w:szCs w:val="18"/>
        </w:rPr>
      </w:pPr>
      <w:r>
        <w:rPr>
          <w:rFonts w:hint="eastAsia" w:ascii="宋体" w:hAnsi="宋体" w:cs="宋体"/>
          <w:kern w:val="0"/>
          <w:sz w:val="18"/>
          <w:szCs w:val="18"/>
        </w:rPr>
        <w:t>1、冻结；</w:t>
      </w:r>
    </w:p>
    <w:p>
      <w:pPr>
        <w:ind w:firstLine="360" w:firstLineChars="200"/>
        <w:rPr>
          <w:rFonts w:ascii="宋体" w:hAnsi="宋体" w:cs="宋体"/>
          <w:kern w:val="0"/>
          <w:sz w:val="18"/>
          <w:szCs w:val="18"/>
        </w:rPr>
      </w:pPr>
      <w:r>
        <w:rPr>
          <w:rFonts w:hint="eastAsia" w:ascii="宋体" w:hAnsi="宋体" w:cs="宋体"/>
          <w:kern w:val="0"/>
          <w:sz w:val="18"/>
          <w:szCs w:val="18"/>
        </w:rPr>
        <w:t>2、解冻；</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、撤单；</w:t>
      </w:r>
    </w:p>
    <w:p>
      <w:pPr>
        <w:ind w:firstLine="360" w:firstLineChars="200"/>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、基金分红。</w:t>
      </w:r>
    </w:p>
    <w:p>
      <w:pPr>
        <w:ind w:firstLine="360" w:firstLineChars="200"/>
        <w:rPr>
          <w:rFonts w:ascii="宋体" w:hAnsi="宋体" w:cs="宋体"/>
          <w:kern w:val="0"/>
          <w:sz w:val="18"/>
          <w:szCs w:val="18"/>
        </w:rPr>
      </w:pPr>
      <w:r>
        <w:rPr>
          <w:rFonts w:hint="eastAsia" w:ascii="宋体" w:hAnsi="宋体" w:cs="宋体"/>
          <w:kern w:val="0"/>
          <w:sz w:val="18"/>
          <w:szCs w:val="18"/>
        </w:rPr>
        <w:t>（四）资金结算</w:t>
      </w:r>
    </w:p>
    <w:p>
      <w:pPr>
        <w:ind w:firstLine="360" w:firstLineChars="200"/>
        <w:rPr>
          <w:rFonts w:ascii="宋体" w:hAnsi="宋体" w:cs="宋体"/>
          <w:kern w:val="0"/>
          <w:sz w:val="18"/>
          <w:szCs w:val="18"/>
        </w:rPr>
      </w:pPr>
      <w:r>
        <w:rPr>
          <w:rFonts w:hint="eastAsia" w:ascii="宋体" w:hAnsi="宋体" w:cs="宋体"/>
          <w:kern w:val="0"/>
          <w:sz w:val="18"/>
          <w:szCs w:val="18"/>
        </w:rPr>
        <w:t>1、认购；</w:t>
      </w:r>
    </w:p>
    <w:p>
      <w:pPr>
        <w:ind w:firstLine="360" w:firstLineChars="200"/>
        <w:rPr>
          <w:rFonts w:ascii="宋体" w:hAnsi="宋体" w:cs="宋体"/>
          <w:kern w:val="0"/>
          <w:sz w:val="18"/>
          <w:szCs w:val="18"/>
        </w:rPr>
      </w:pPr>
      <w:r>
        <w:rPr>
          <w:rFonts w:hint="eastAsia" w:ascii="宋体" w:hAnsi="宋体" w:cs="宋体"/>
          <w:kern w:val="0"/>
          <w:sz w:val="18"/>
          <w:szCs w:val="18"/>
        </w:rPr>
        <w:t>2、申购；</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、赎回；</w:t>
      </w:r>
    </w:p>
    <w:p>
      <w:pPr>
        <w:ind w:firstLine="360" w:firstLineChars="200"/>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、红利发放。</w:t>
      </w:r>
    </w:p>
    <w:p>
      <w:pPr>
        <w:ind w:left="141" w:leftChars="67" w:firstLine="426" w:firstLineChars="236"/>
        <w:rPr>
          <w:rFonts w:ascii="宋体" w:hAnsi="宋体" w:cs="宋体"/>
          <w:b/>
          <w:kern w:val="0"/>
          <w:sz w:val="18"/>
          <w:szCs w:val="18"/>
        </w:rPr>
      </w:pPr>
      <w:r>
        <w:rPr>
          <w:rFonts w:hint="eastAsia" w:ascii="宋体" w:hAnsi="宋体" w:cs="宋体"/>
          <w:b/>
          <w:kern w:val="0"/>
          <w:sz w:val="18"/>
          <w:szCs w:val="18"/>
        </w:rPr>
        <w:t>七、投诉处理和联系方式</w:t>
      </w:r>
    </w:p>
    <w:p>
      <w:pPr>
        <w:ind w:firstLine="360" w:firstLineChars="200"/>
        <w:rPr>
          <w:rFonts w:ascii="宋体" w:hAnsi="宋体" w:cs="宋体"/>
          <w:kern w:val="0"/>
          <w:sz w:val="18"/>
          <w:szCs w:val="18"/>
        </w:rPr>
      </w:pPr>
      <w:r>
        <w:rPr>
          <w:rFonts w:hint="eastAsia" w:ascii="宋体" w:hAnsi="宋体" w:cs="宋体"/>
          <w:kern w:val="0"/>
          <w:sz w:val="18"/>
          <w:szCs w:val="18"/>
        </w:rPr>
        <w:t>（一）基金投资人可以通过拨打我公司客户服务中心电话或以书信、传真、电子邮件等方式，对所提供的服务提出建议或投诉。对于工作日受理的投诉，原则上当日回复，不能当日回复的，在2个工作日内回复。对于非工作日受理的投诉，原则上在顺延的第一个工作日回复，不能及时回复的，在2个工作日内回复。</w:t>
      </w:r>
    </w:p>
    <w:p>
      <w:pPr>
        <w:ind w:firstLine="360" w:firstLineChars="200"/>
        <w:rPr>
          <w:rFonts w:hint="eastAsia" w:ascii="宋体" w:hAnsi="宋体" w:cs="宋体"/>
          <w:kern w:val="0"/>
          <w:sz w:val="18"/>
          <w:szCs w:val="18"/>
        </w:rPr>
      </w:pPr>
      <w:r>
        <w:rPr>
          <w:rFonts w:hint="eastAsia" w:ascii="宋体" w:hAnsi="宋体" w:cs="宋体"/>
          <w:kern w:val="0"/>
          <w:sz w:val="18"/>
          <w:szCs w:val="18"/>
        </w:rPr>
        <w:t>（二）基金投资人也可通过书信、传真、电子邮件等方式，向中国证监会及其派出机构、中国证券投资基金业协会等机构投诉。联系方式如下：</w:t>
      </w:r>
    </w:p>
    <w:p>
      <w:pPr>
        <w:ind w:firstLine="360" w:firstLineChars="200"/>
        <w:rPr>
          <w:rFonts w:ascii="宋体" w:hAnsi="宋体" w:cs="宋体"/>
          <w:kern w:val="0"/>
          <w:sz w:val="18"/>
          <w:szCs w:val="18"/>
        </w:rPr>
      </w:pPr>
      <w:r>
        <w:rPr>
          <w:rFonts w:hint="eastAsia" w:ascii="宋体" w:hAnsi="宋体" w:cs="宋体"/>
          <w:kern w:val="0"/>
          <w:sz w:val="18"/>
          <w:szCs w:val="18"/>
        </w:rPr>
        <w:t>1、中国证监会热线：12386</w:t>
      </w:r>
    </w:p>
    <w:p>
      <w:pPr>
        <w:ind w:firstLine="360" w:firstLineChars="200"/>
        <w:rPr>
          <w:rFonts w:ascii="宋体" w:hAnsi="宋体" w:cs="宋体"/>
          <w:kern w:val="0"/>
          <w:sz w:val="18"/>
          <w:szCs w:val="18"/>
        </w:rPr>
      </w:pPr>
      <w:r>
        <w:rPr>
          <w:rFonts w:hint="eastAsia" w:ascii="宋体" w:hAnsi="宋体" w:cs="宋体"/>
          <w:kern w:val="0"/>
          <w:sz w:val="18"/>
          <w:szCs w:val="18"/>
        </w:rPr>
        <w:t>承接事项：</w:t>
      </w:r>
      <w:r>
        <w:rPr>
          <w:rFonts w:ascii="宋体" w:hAnsi="宋体" w:cs="宋体"/>
          <w:kern w:val="0"/>
          <w:sz w:val="18"/>
          <w:szCs w:val="18"/>
        </w:rPr>
        <w:t>12386服务平台接收以下四类诉求事项：（一）投诉事项，即投资者反映在购买证券基金期货产品或接受相关服务时，与证券期货市场经营主体及其从业人员发生民事纠纷的；（二）举报事项，即任何单位和个人举报涉嫌证券期货违法、违规行为，请求证券期货监督管理机构予以查处的；（三）咨询事项，即投资者对证券期货相关业务和制度提出咨询的；（四）意见建议事项，即投资者对证券期货市场监管政策或者工作提出意见建议的。投资者进行信访，申请信息公开、行政复议等，应当按照法律、行政法规或中国证监会相关规定另行提出</w:t>
      </w:r>
      <w:r>
        <w:rPr>
          <w:rFonts w:hint="eastAsia" w:ascii="宋体" w:hAnsi="宋体" w:cs="宋体"/>
          <w:kern w:val="0"/>
          <w:sz w:val="18"/>
          <w:szCs w:val="18"/>
        </w:rPr>
        <w:t>。</w:t>
      </w:r>
    </w:p>
    <w:p>
      <w:pPr>
        <w:ind w:firstLine="360" w:firstLineChars="200"/>
        <w:rPr>
          <w:rFonts w:ascii="宋体" w:hAnsi="宋体" w:cs="宋体"/>
          <w:kern w:val="0"/>
          <w:sz w:val="18"/>
          <w:szCs w:val="18"/>
        </w:rPr>
      </w:pPr>
      <w:r>
        <w:rPr>
          <w:rFonts w:hint="eastAsia" w:ascii="宋体" w:hAnsi="宋体" w:cs="宋体"/>
          <w:kern w:val="0"/>
          <w:sz w:val="18"/>
          <w:szCs w:val="18"/>
        </w:rPr>
        <w:t>使用方法：</w:t>
      </w:r>
      <w:r>
        <w:rPr>
          <w:rFonts w:ascii="宋体" w:hAnsi="宋体" w:cs="宋体"/>
          <w:kern w:val="0"/>
          <w:sz w:val="18"/>
          <w:szCs w:val="18"/>
        </w:rPr>
        <w:t>在全国范围内直接拨打12386热线电话，或者通过12386网络平台反映诉求。热线电话服务时间为每周一至周五（法定节假日除外）上午9：00-11：30，下午13：00-16：30。12386网络平台按照诉求类别设立投诉、举报、咨询、意见建议等栏目，7</w:t>
      </w:r>
      <w:r>
        <w:rPr>
          <w:rFonts w:hint="eastAsia" w:ascii="宋体" w:hAnsi="宋体" w:cs="宋体"/>
          <w:kern w:val="0"/>
          <w:sz w:val="18"/>
          <w:szCs w:val="18"/>
        </w:rPr>
        <w:sym w:font="Wingdings 2" w:char="F0CE"/>
      </w:r>
      <w:r>
        <w:rPr>
          <w:rFonts w:ascii="宋体" w:hAnsi="宋体" w:cs="宋体"/>
          <w:kern w:val="0"/>
          <w:sz w:val="18"/>
          <w:szCs w:val="18"/>
        </w:rPr>
        <w:t>24小时分类接收投资者诉求。投资者根据自身诉求类别，通过对应栏目提交诉求。</w:t>
      </w:r>
    </w:p>
    <w:p>
      <w:pPr>
        <w:ind w:firstLine="360" w:firstLineChars="200"/>
        <w:rPr>
          <w:rFonts w:ascii="宋体" w:hAnsi="宋体" w:cs="宋体"/>
          <w:kern w:val="0"/>
          <w:sz w:val="18"/>
          <w:szCs w:val="18"/>
        </w:rPr>
      </w:pPr>
      <w:r>
        <w:rPr>
          <w:rFonts w:hint="eastAsia" w:ascii="宋体" w:hAnsi="宋体" w:cs="宋体"/>
          <w:kern w:val="0"/>
          <w:sz w:val="18"/>
          <w:szCs w:val="18"/>
        </w:rPr>
        <w:t>2、中国证监会北京监管局</w:t>
      </w:r>
    </w:p>
    <w:p>
      <w:pPr>
        <w:ind w:firstLine="360" w:firstLineChars="200"/>
        <w:rPr>
          <w:rFonts w:ascii="宋体" w:hAnsi="宋体" w:cs="宋体"/>
          <w:kern w:val="0"/>
          <w:sz w:val="18"/>
          <w:szCs w:val="18"/>
        </w:rPr>
      </w:pPr>
      <w:r>
        <w:rPr>
          <w:rFonts w:hint="eastAsia" w:ascii="宋体" w:hAnsi="宋体" w:cs="宋体"/>
          <w:kern w:val="0"/>
          <w:sz w:val="18"/>
          <w:szCs w:val="18"/>
        </w:rPr>
        <w:t>网址：</w:t>
      </w:r>
      <w:r>
        <w:rPr>
          <w:rFonts w:ascii="宋体" w:hAnsi="宋体" w:cs="宋体"/>
          <w:kern w:val="0"/>
          <w:sz w:val="18"/>
          <w:szCs w:val="18"/>
        </w:rPr>
        <w:t>www.csrc.gov.cn/pub/beijing/</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、中国证券投资基金业协会</w:t>
      </w:r>
    </w:p>
    <w:p>
      <w:pPr>
        <w:ind w:firstLine="360" w:firstLineChars="200"/>
        <w:rPr>
          <w:rFonts w:ascii="宋体" w:hAnsi="宋体" w:cs="宋体"/>
          <w:kern w:val="0"/>
          <w:sz w:val="18"/>
          <w:szCs w:val="18"/>
        </w:rPr>
      </w:pPr>
      <w:r>
        <w:rPr>
          <w:rFonts w:hint="eastAsia" w:ascii="宋体" w:hAnsi="宋体" w:cs="宋体"/>
          <w:kern w:val="0"/>
          <w:sz w:val="18"/>
          <w:szCs w:val="18"/>
        </w:rPr>
        <w:t>网址：www.amac.org.cn/</w:t>
      </w:r>
    </w:p>
    <w:p>
      <w:pPr>
        <w:ind w:firstLine="360" w:firstLineChars="200"/>
        <w:rPr>
          <w:rFonts w:ascii="宋体" w:hAnsi="宋体" w:cs="宋体"/>
          <w:kern w:val="0"/>
          <w:sz w:val="18"/>
          <w:szCs w:val="18"/>
        </w:rPr>
      </w:pPr>
      <w:r>
        <w:rPr>
          <w:rFonts w:hint="eastAsia" w:ascii="宋体" w:hAnsi="宋体" w:cs="宋体"/>
          <w:kern w:val="0"/>
          <w:sz w:val="18"/>
          <w:szCs w:val="18"/>
        </w:rPr>
        <w:t>（三）因基金合同而产生的或与基金合同有关的一切争议，如经协商或调解不能解决的，基金投资人可按照基金合同及招募说明书约定的方式解决争议。</w:t>
      </w:r>
    </w:p>
    <w:p>
      <w:pPr>
        <w:ind w:firstLine="360" w:firstLineChars="200"/>
        <w:rPr>
          <w:rFonts w:ascii="宋体" w:hAnsi="宋体" w:cs="宋体"/>
          <w:kern w:val="0"/>
          <w:sz w:val="18"/>
          <w:szCs w:val="18"/>
        </w:rPr>
      </w:pPr>
      <w:r>
        <w:rPr>
          <w:rFonts w:hint="eastAsia" w:ascii="宋体" w:hAnsi="宋体" w:cs="宋体"/>
          <w:kern w:val="0"/>
          <w:sz w:val="18"/>
          <w:szCs w:val="18"/>
        </w:rPr>
        <w:t>投资人在投资基金前应认真阅读基金合同、基金招募说明书及基金产品资料概要等基金法律文件，选择与自身风险承受能力相适应的基金。我公司承诺投资人利益优先，以诚实信用、勤勉尽责的态度为投资人提供服务，但不能保证基金一定盈利，也不能保证基金的最低收益。投资人可登录中国证监会网站（www.csrc.gov.cn）查询基金销售机构名录，并核实本公司基金管理人资格。</w:t>
      </w:r>
    </w:p>
    <w:p>
      <w:pPr>
        <w:ind w:firstLine="360" w:firstLineChars="200"/>
        <w:rPr>
          <w:rFonts w:ascii="宋体" w:hAnsi="宋体" w:cs="宋体"/>
          <w:kern w:val="0"/>
          <w:sz w:val="18"/>
          <w:szCs w:val="18"/>
        </w:rPr>
      </w:pPr>
      <w:r>
        <w:rPr>
          <w:rFonts w:hint="eastAsia" w:ascii="宋体" w:hAnsi="宋体" w:cs="宋体"/>
          <w:kern w:val="0"/>
          <w:sz w:val="18"/>
          <w:szCs w:val="18"/>
        </w:rPr>
        <w:t>本《须知》有关内容将根据法律法规及监管机构或行业协会的要求或本公司业务情况的变化不时修订，相关修订以本公司更新为准，该等更新不作为对本公司过往行为的追溯依据。</w:t>
      </w:r>
    </w:p>
    <w:p>
      <w:pPr>
        <w:ind w:firstLine="360" w:firstLineChars="200"/>
        <w:rPr>
          <w:rFonts w:ascii="宋体" w:hAnsi="宋体" w:cs="宋体"/>
          <w:kern w:val="0"/>
          <w:sz w:val="18"/>
          <w:szCs w:val="18"/>
        </w:rPr>
      </w:pPr>
      <w:r>
        <w:rPr>
          <w:rFonts w:hint="eastAsia" w:ascii="宋体" w:hAnsi="宋体" w:cs="宋体"/>
          <w:kern w:val="0"/>
          <w:sz w:val="18"/>
          <w:szCs w:val="18"/>
        </w:rPr>
        <w:t>销售人员姓名及从业证书编号，</w:t>
      </w:r>
      <w:r>
        <w:rPr>
          <w:rFonts w:ascii="宋体" w:hAnsi="宋体" w:cs="宋体"/>
          <w:kern w:val="0"/>
          <w:sz w:val="18"/>
          <w:szCs w:val="18"/>
        </w:rPr>
        <w:t>请</w:t>
      </w:r>
      <w:r>
        <w:fldChar w:fldCharType="begin"/>
      </w:r>
      <w:r>
        <w:instrText xml:space="preserve"> HYPERLINK "http://点击查看我公司网站（www.hr-fund.com.cn）《业务资质-销售人员资质》获得从业人员名单" </w:instrText>
      </w:r>
      <w:r>
        <w:fldChar w:fldCharType="separate"/>
      </w:r>
      <w:r>
        <w:rPr>
          <w:rStyle w:val="17"/>
          <w:rFonts w:hint="default" w:ascii="Times New Roman" w:hAnsi="Times New Roman" w:cs="宋体"/>
          <w:kern w:val="0"/>
          <w:sz w:val="21"/>
          <w:szCs w:val="24"/>
        </w:rPr>
        <w:t>点击查看我公司网站</w:t>
      </w:r>
      <w:r>
        <w:rPr>
          <w:rStyle w:val="17"/>
          <w:rFonts w:cs="宋体"/>
          <w:kern w:val="0"/>
        </w:rPr>
        <w:t>（www.</w:t>
      </w:r>
      <w:r>
        <w:rPr>
          <w:rStyle w:val="17"/>
          <w:rFonts w:hint="eastAsia" w:cs="宋体"/>
          <w:kern w:val="0"/>
          <w:lang w:val="en-US" w:eastAsia="zh-CN"/>
        </w:rPr>
        <w:t>crs</w:t>
      </w:r>
      <w:bookmarkStart w:id="0" w:name="_GoBack"/>
      <w:bookmarkEnd w:id="0"/>
      <w:r>
        <w:rPr>
          <w:rStyle w:val="17"/>
          <w:rFonts w:cs="宋体"/>
          <w:kern w:val="0"/>
        </w:rPr>
        <w:t>fund.com.cn）</w:t>
      </w:r>
      <w:r>
        <w:rPr>
          <w:rStyle w:val="17"/>
          <w:rFonts w:hint="default" w:ascii="Times New Roman" w:hAnsi="Times New Roman" w:cs="宋体"/>
          <w:kern w:val="0"/>
          <w:sz w:val="21"/>
          <w:szCs w:val="24"/>
        </w:rPr>
        <w:t>《业务资质-销售人员资质》获得从业人员名单</w:t>
      </w:r>
      <w:r>
        <w:rPr>
          <w:rStyle w:val="17"/>
          <w:rFonts w:hint="default" w:ascii="Times New Roman" w:hAnsi="Times New Roman" w:cs="宋体"/>
          <w:kern w:val="0"/>
          <w:sz w:val="21"/>
          <w:szCs w:val="24"/>
        </w:rPr>
        <w:fldChar w:fldCharType="end"/>
      </w:r>
      <w:r>
        <w:rPr>
          <w:rFonts w:hint="eastAsia" w:ascii="宋体" w:hAnsi="宋体" w:cs="宋体"/>
          <w:kern w:val="0"/>
          <w:sz w:val="18"/>
          <w:szCs w:val="18"/>
        </w:rPr>
        <w:t>及</w:t>
      </w:r>
      <w:r>
        <w:rPr>
          <w:rFonts w:ascii="宋体" w:hAnsi="宋体" w:cs="宋体"/>
          <w:kern w:val="0"/>
          <w:sz w:val="18"/>
          <w:szCs w:val="18"/>
        </w:rPr>
        <w:t>资质。</w:t>
      </w:r>
    </w:p>
    <w:p>
      <w:pPr>
        <w:ind w:firstLine="360" w:firstLineChars="200"/>
        <w:rPr>
          <w:rFonts w:ascii="宋体" w:hAnsi="宋体" w:cs="宋体"/>
          <w:kern w:val="0"/>
          <w:sz w:val="18"/>
          <w:szCs w:val="18"/>
        </w:rPr>
      </w:pPr>
      <w:r>
        <w:rPr>
          <w:rFonts w:hint="eastAsia" w:ascii="宋体" w:hAnsi="宋体" w:cs="宋体"/>
          <w:kern w:val="0"/>
          <w:sz w:val="18"/>
          <w:szCs w:val="18"/>
        </w:rPr>
        <w:t>基金销售机构名称：国新国证基金管理有限公司</w:t>
      </w:r>
    </w:p>
    <w:p>
      <w:pPr>
        <w:ind w:firstLine="360" w:firstLineChars="200"/>
        <w:rPr>
          <w:rFonts w:ascii="宋体" w:hAnsi="宋体" w:cs="宋体"/>
          <w:kern w:val="0"/>
          <w:sz w:val="18"/>
          <w:szCs w:val="18"/>
        </w:rPr>
      </w:pPr>
      <w:r>
        <w:rPr>
          <w:rFonts w:hint="eastAsia" w:ascii="宋体" w:hAnsi="宋体" w:cs="宋体"/>
          <w:kern w:val="0"/>
          <w:sz w:val="18"/>
          <w:szCs w:val="18"/>
        </w:rPr>
        <w:t>客户服务电话：</w:t>
      </w:r>
      <w:r>
        <w:rPr>
          <w:rFonts w:ascii="宋体" w:hAnsi="宋体" w:cs="宋体"/>
          <w:kern w:val="0"/>
          <w:sz w:val="18"/>
          <w:szCs w:val="18"/>
        </w:rPr>
        <w:t>400-819-</w:t>
      </w:r>
      <w:r>
        <w:rPr>
          <w:rFonts w:hint="eastAsia" w:ascii="宋体" w:hAnsi="宋体" w:cs="宋体"/>
          <w:kern w:val="0"/>
          <w:sz w:val="18"/>
          <w:szCs w:val="18"/>
        </w:rPr>
        <w:t>0</w:t>
      </w:r>
      <w:r>
        <w:rPr>
          <w:rFonts w:ascii="宋体" w:hAnsi="宋体" w:cs="宋体"/>
          <w:kern w:val="0"/>
          <w:sz w:val="18"/>
          <w:szCs w:val="18"/>
        </w:rPr>
        <w:t>789</w:t>
      </w:r>
    </w:p>
    <w:p>
      <w:pPr>
        <w:ind w:firstLine="360" w:firstLineChars="200"/>
        <w:rPr>
          <w:rFonts w:ascii="宋体" w:hAnsi="宋体" w:cs="宋体"/>
          <w:kern w:val="0"/>
          <w:sz w:val="18"/>
          <w:szCs w:val="18"/>
        </w:rPr>
      </w:pPr>
      <w:r>
        <w:rPr>
          <w:rFonts w:hint="eastAsia" w:ascii="宋体" w:hAnsi="宋体" w:cs="宋体"/>
          <w:kern w:val="0"/>
          <w:sz w:val="18"/>
          <w:szCs w:val="18"/>
        </w:rPr>
        <w:t>客户服务传真：</w:t>
      </w:r>
      <w:r>
        <w:rPr>
          <w:rFonts w:ascii="宋体" w:hAnsi="宋体" w:cs="宋体"/>
          <w:kern w:val="0"/>
          <w:sz w:val="18"/>
          <w:szCs w:val="18"/>
        </w:rPr>
        <w:t>010-</w:t>
      </w:r>
      <w:r>
        <w:rPr>
          <w:rFonts w:hint="eastAsia" w:ascii="宋体" w:hAnsi="宋体" w:cs="宋体"/>
          <w:kern w:val="0"/>
          <w:sz w:val="18"/>
          <w:szCs w:val="18"/>
        </w:rPr>
        <w:t>59315600</w:t>
      </w:r>
    </w:p>
    <w:p>
      <w:pPr>
        <w:ind w:firstLine="360" w:firstLineChars="200"/>
        <w:rPr>
          <w:rFonts w:ascii="宋体" w:hAnsi="宋体" w:cs="宋体"/>
          <w:kern w:val="0"/>
          <w:sz w:val="18"/>
          <w:szCs w:val="18"/>
        </w:rPr>
      </w:pPr>
      <w:r>
        <w:rPr>
          <w:rFonts w:hint="eastAsia" w:ascii="宋体" w:hAnsi="宋体" w:cs="宋体"/>
          <w:kern w:val="0"/>
          <w:sz w:val="18"/>
          <w:szCs w:val="18"/>
        </w:rPr>
        <w:t>地址：北京朝阳区朝阳门北大街18号中国人保寿险大厦11层  邮编：100020</w:t>
      </w:r>
    </w:p>
    <w:p>
      <w:pPr>
        <w:ind w:firstLine="422" w:firstLineChars="200"/>
        <w:rPr>
          <w:b/>
          <w:szCs w:val="28"/>
        </w:rPr>
      </w:pPr>
      <w:r>
        <w:rPr>
          <w:rFonts w:hint="eastAsia" w:ascii="宋体" w:hAnsi="宋体"/>
          <w:b/>
          <w:szCs w:val="28"/>
        </w:rPr>
        <w:t>□</w:t>
      </w:r>
      <w:r>
        <w:rPr>
          <w:rFonts w:hint="eastAsia"/>
          <w:b/>
          <w:szCs w:val="28"/>
        </w:rPr>
        <w:t>我已阅读并同意《证券投资基金投资人权益须知》。</w:t>
      </w:r>
    </w:p>
    <w:p>
      <w:pPr>
        <w:ind w:firstLine="422" w:firstLineChars="200"/>
        <w:rPr>
          <w:b/>
          <w:szCs w:val="28"/>
        </w:rPr>
      </w:pPr>
      <w:r>
        <w:rPr>
          <w:rFonts w:hint="eastAsia"/>
          <w:b/>
          <w:szCs w:val="28"/>
        </w:rPr>
        <w:t>投资人/经办人签名：               盖章：                  日期：</w:t>
      </w:r>
    </w:p>
    <w:sectPr>
      <w:headerReference r:id="rId3" w:type="default"/>
      <w:footerReference r:id="rId4" w:type="default"/>
      <w:type w:val="continuous"/>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2582472"/>
    </w:sdtPr>
    <w:sdtContent>
      <w:sdt>
        <w:sdtPr>
          <w:id w:val="-1669238322"/>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ascii="微软雅黑" w:hAnsi="微软雅黑" w:eastAsia="微软雅黑" w:cs="宋体"/>
        <w:sz w:val="32"/>
        <w:szCs w:val="32"/>
      </w:rPr>
      <w:drawing>
        <wp:anchor distT="0" distB="0" distL="114300" distR="114300" simplePos="0" relativeHeight="251659264" behindDoc="0" locked="0" layoutInCell="1" allowOverlap="1">
          <wp:simplePos x="0" y="0"/>
          <wp:positionH relativeFrom="column">
            <wp:posOffset>8255</wp:posOffset>
          </wp:positionH>
          <wp:positionV relativeFrom="paragraph">
            <wp:posOffset>-314325</wp:posOffset>
          </wp:positionV>
          <wp:extent cx="1799590"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540A"/>
    <w:rsid w:val="000152BF"/>
    <w:rsid w:val="00020963"/>
    <w:rsid w:val="000315B6"/>
    <w:rsid w:val="00031719"/>
    <w:rsid w:val="00071A36"/>
    <w:rsid w:val="0009444D"/>
    <w:rsid w:val="000F10FA"/>
    <w:rsid w:val="000F19B1"/>
    <w:rsid w:val="000F478C"/>
    <w:rsid w:val="0013761F"/>
    <w:rsid w:val="001459AC"/>
    <w:rsid w:val="00195062"/>
    <w:rsid w:val="001A1E4E"/>
    <w:rsid w:val="001B029A"/>
    <w:rsid w:val="001B7280"/>
    <w:rsid w:val="001C125B"/>
    <w:rsid w:val="001E4E2E"/>
    <w:rsid w:val="001F16F7"/>
    <w:rsid w:val="001F75D2"/>
    <w:rsid w:val="00203083"/>
    <w:rsid w:val="00205BD3"/>
    <w:rsid w:val="00217E30"/>
    <w:rsid w:val="00224A64"/>
    <w:rsid w:val="00232513"/>
    <w:rsid w:val="002356EF"/>
    <w:rsid w:val="00236C00"/>
    <w:rsid w:val="00255002"/>
    <w:rsid w:val="002A313B"/>
    <w:rsid w:val="002A541D"/>
    <w:rsid w:val="002A7CCA"/>
    <w:rsid w:val="002C4D25"/>
    <w:rsid w:val="002D28A7"/>
    <w:rsid w:val="002F4C05"/>
    <w:rsid w:val="002F5FCE"/>
    <w:rsid w:val="003056D6"/>
    <w:rsid w:val="003256D2"/>
    <w:rsid w:val="00336ACE"/>
    <w:rsid w:val="0034657A"/>
    <w:rsid w:val="00351651"/>
    <w:rsid w:val="00371235"/>
    <w:rsid w:val="003B00CF"/>
    <w:rsid w:val="003B2CFA"/>
    <w:rsid w:val="003C051D"/>
    <w:rsid w:val="003D2F3B"/>
    <w:rsid w:val="003D6FF7"/>
    <w:rsid w:val="004218E0"/>
    <w:rsid w:val="00421AFD"/>
    <w:rsid w:val="00432C6A"/>
    <w:rsid w:val="00436CFE"/>
    <w:rsid w:val="00451FCE"/>
    <w:rsid w:val="004722CB"/>
    <w:rsid w:val="00477A91"/>
    <w:rsid w:val="00477CC7"/>
    <w:rsid w:val="004905B0"/>
    <w:rsid w:val="004B1A8A"/>
    <w:rsid w:val="00502B52"/>
    <w:rsid w:val="0054296B"/>
    <w:rsid w:val="00561476"/>
    <w:rsid w:val="005643FC"/>
    <w:rsid w:val="00566D8E"/>
    <w:rsid w:val="0057436C"/>
    <w:rsid w:val="00591C7F"/>
    <w:rsid w:val="005E7DF2"/>
    <w:rsid w:val="005F1917"/>
    <w:rsid w:val="006270AB"/>
    <w:rsid w:val="00635FF5"/>
    <w:rsid w:val="00646C08"/>
    <w:rsid w:val="006729CE"/>
    <w:rsid w:val="0068095C"/>
    <w:rsid w:val="006A2F62"/>
    <w:rsid w:val="006A50DF"/>
    <w:rsid w:val="006B67F3"/>
    <w:rsid w:val="006C32A4"/>
    <w:rsid w:val="006D34AA"/>
    <w:rsid w:val="006E6509"/>
    <w:rsid w:val="006F445E"/>
    <w:rsid w:val="006F4964"/>
    <w:rsid w:val="00710F23"/>
    <w:rsid w:val="007141F4"/>
    <w:rsid w:val="00714635"/>
    <w:rsid w:val="0079302F"/>
    <w:rsid w:val="00793DC4"/>
    <w:rsid w:val="00796021"/>
    <w:rsid w:val="007C174D"/>
    <w:rsid w:val="007F52F8"/>
    <w:rsid w:val="00806B40"/>
    <w:rsid w:val="008140F0"/>
    <w:rsid w:val="008208B6"/>
    <w:rsid w:val="008821BF"/>
    <w:rsid w:val="008925B0"/>
    <w:rsid w:val="00893EB6"/>
    <w:rsid w:val="0089522F"/>
    <w:rsid w:val="008B56DB"/>
    <w:rsid w:val="008C03CC"/>
    <w:rsid w:val="008E519B"/>
    <w:rsid w:val="008F03A2"/>
    <w:rsid w:val="008F187B"/>
    <w:rsid w:val="008F2D9C"/>
    <w:rsid w:val="009018C7"/>
    <w:rsid w:val="00902436"/>
    <w:rsid w:val="009203E8"/>
    <w:rsid w:val="009249DD"/>
    <w:rsid w:val="0093073A"/>
    <w:rsid w:val="00937384"/>
    <w:rsid w:val="00940D66"/>
    <w:rsid w:val="009763C9"/>
    <w:rsid w:val="00984949"/>
    <w:rsid w:val="00995BFF"/>
    <w:rsid w:val="009A16B3"/>
    <w:rsid w:val="009B03F0"/>
    <w:rsid w:val="009B7330"/>
    <w:rsid w:val="009C3231"/>
    <w:rsid w:val="009D0107"/>
    <w:rsid w:val="009D4A5D"/>
    <w:rsid w:val="009D7753"/>
    <w:rsid w:val="009E7A56"/>
    <w:rsid w:val="009F3CA1"/>
    <w:rsid w:val="009F6439"/>
    <w:rsid w:val="00A05BF7"/>
    <w:rsid w:val="00A16B38"/>
    <w:rsid w:val="00A20187"/>
    <w:rsid w:val="00A27D3B"/>
    <w:rsid w:val="00A32E68"/>
    <w:rsid w:val="00A33288"/>
    <w:rsid w:val="00A3394D"/>
    <w:rsid w:val="00A373FA"/>
    <w:rsid w:val="00A4174D"/>
    <w:rsid w:val="00A51767"/>
    <w:rsid w:val="00A67D1A"/>
    <w:rsid w:val="00A80DD0"/>
    <w:rsid w:val="00AF52C4"/>
    <w:rsid w:val="00B02ADB"/>
    <w:rsid w:val="00B05DD1"/>
    <w:rsid w:val="00B234DC"/>
    <w:rsid w:val="00B51FC9"/>
    <w:rsid w:val="00B65462"/>
    <w:rsid w:val="00B65A51"/>
    <w:rsid w:val="00BA252C"/>
    <w:rsid w:val="00BA4DFC"/>
    <w:rsid w:val="00BD5CF5"/>
    <w:rsid w:val="00C127B8"/>
    <w:rsid w:val="00C2495E"/>
    <w:rsid w:val="00C3706B"/>
    <w:rsid w:val="00C6019D"/>
    <w:rsid w:val="00C940BF"/>
    <w:rsid w:val="00CB3D3C"/>
    <w:rsid w:val="00CB64FF"/>
    <w:rsid w:val="00CE2C77"/>
    <w:rsid w:val="00CE3C33"/>
    <w:rsid w:val="00D02CF5"/>
    <w:rsid w:val="00D23808"/>
    <w:rsid w:val="00D5549C"/>
    <w:rsid w:val="00D63D37"/>
    <w:rsid w:val="00D645A7"/>
    <w:rsid w:val="00D759C7"/>
    <w:rsid w:val="00D847FA"/>
    <w:rsid w:val="00DB710F"/>
    <w:rsid w:val="00DC299B"/>
    <w:rsid w:val="00DE1808"/>
    <w:rsid w:val="00DF0D90"/>
    <w:rsid w:val="00E00E56"/>
    <w:rsid w:val="00E01549"/>
    <w:rsid w:val="00E42510"/>
    <w:rsid w:val="00E42E72"/>
    <w:rsid w:val="00E62294"/>
    <w:rsid w:val="00E76AB3"/>
    <w:rsid w:val="00EB0F35"/>
    <w:rsid w:val="00ED6374"/>
    <w:rsid w:val="00ED6717"/>
    <w:rsid w:val="00EF3E38"/>
    <w:rsid w:val="00F01FD7"/>
    <w:rsid w:val="00F13723"/>
    <w:rsid w:val="00F4700B"/>
    <w:rsid w:val="00F6189B"/>
    <w:rsid w:val="00FA7737"/>
    <w:rsid w:val="00FB2CF5"/>
    <w:rsid w:val="00FD0053"/>
    <w:rsid w:val="00FD360D"/>
    <w:rsid w:val="00FE7AD1"/>
    <w:rsid w:val="00FF62F8"/>
    <w:rsid w:val="106B305C"/>
    <w:rsid w:val="167F588B"/>
    <w:rsid w:val="3CF30F63"/>
    <w:rsid w:val="447624E3"/>
    <w:rsid w:val="475B61FD"/>
    <w:rsid w:val="54D51E5D"/>
    <w:rsid w:val="653F04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9"/>
    <w:semiHidden/>
    <w:unhideWhenUsed/>
    <w:qFormat/>
    <w:uiPriority w:val="99"/>
    <w:pPr>
      <w:jc w:val="left"/>
    </w:pPr>
  </w:style>
  <w:style w:type="paragraph" w:styleId="7">
    <w:name w:val="Balloon Text"/>
    <w:basedOn w:val="1"/>
    <w:link w:val="21"/>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1">
    <w:name w:val="Title"/>
    <w:basedOn w:val="1"/>
    <w:next w:val="1"/>
    <w:link w:val="23"/>
    <w:qFormat/>
    <w:uiPriority w:val="10"/>
    <w:pPr>
      <w:spacing w:before="240" w:after="60"/>
      <w:jc w:val="center"/>
      <w:outlineLvl w:val="0"/>
    </w:pPr>
    <w:rPr>
      <w:rFonts w:asciiTheme="majorHAnsi" w:hAnsiTheme="majorHAnsi" w:cstheme="majorBidi"/>
      <w:b/>
      <w:bCs/>
      <w:sz w:val="32"/>
      <w:szCs w:val="32"/>
    </w:rPr>
  </w:style>
  <w:style w:type="paragraph" w:styleId="12">
    <w:name w:val="annotation subject"/>
    <w:basedOn w:val="6"/>
    <w:next w:val="6"/>
    <w:link w:val="30"/>
    <w:semiHidden/>
    <w:unhideWhenUsed/>
    <w:qFormat/>
    <w:uiPriority w:val="99"/>
    <w:rPr>
      <w:b/>
      <w:bCs/>
    </w:rPr>
  </w:style>
  <w:style w:type="table" w:styleId="14">
    <w:name w:val="Table Grid"/>
    <w:basedOn w:val="1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styleId="17">
    <w:name w:val="Hyperlink"/>
    <w:unhideWhenUsed/>
    <w:qFormat/>
    <w:uiPriority w:val="99"/>
    <w:rPr>
      <w:rFonts w:hint="eastAsia" w:ascii="宋体" w:hAnsi="宋体" w:eastAsia="宋体"/>
      <w:color w:val="000000"/>
      <w:sz w:val="18"/>
      <w:szCs w:val="18"/>
      <w:u w:val="none"/>
    </w:rPr>
  </w:style>
  <w:style w:type="character" w:styleId="18">
    <w:name w:val="annotation reference"/>
    <w:basedOn w:val="15"/>
    <w:semiHidden/>
    <w:unhideWhenUsed/>
    <w:qFormat/>
    <w:uiPriority w:val="99"/>
    <w:rPr>
      <w:sz w:val="21"/>
      <w:szCs w:val="21"/>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character" w:customStyle="1" w:styleId="21">
    <w:name w:val="批注框文本 Char"/>
    <w:basedOn w:val="15"/>
    <w:link w:val="7"/>
    <w:semiHidden/>
    <w:qFormat/>
    <w:uiPriority w:val="99"/>
    <w:rPr>
      <w:rFonts w:ascii="Times New Roman" w:hAnsi="Times New Roman" w:eastAsia="宋体" w:cs="Times New Roman"/>
      <w:sz w:val="18"/>
      <w:szCs w:val="18"/>
    </w:rPr>
  </w:style>
  <w:style w:type="paragraph" w:styleId="22">
    <w:name w:val="List Paragraph"/>
    <w:basedOn w:val="1"/>
    <w:qFormat/>
    <w:uiPriority w:val="34"/>
    <w:pPr>
      <w:ind w:firstLine="420" w:firstLineChars="200"/>
    </w:pPr>
  </w:style>
  <w:style w:type="character" w:customStyle="1" w:styleId="23">
    <w:name w:val="标题 Char"/>
    <w:basedOn w:val="15"/>
    <w:link w:val="11"/>
    <w:qFormat/>
    <w:uiPriority w:val="10"/>
    <w:rPr>
      <w:rFonts w:eastAsia="宋体" w:asciiTheme="majorHAnsi" w:hAnsiTheme="majorHAnsi" w:cstheme="majorBidi"/>
      <w:b/>
      <w:bCs/>
      <w:sz w:val="32"/>
      <w:szCs w:val="32"/>
    </w:rPr>
  </w:style>
  <w:style w:type="character" w:customStyle="1" w:styleId="24">
    <w:name w:val="标题 2 Char"/>
    <w:basedOn w:val="15"/>
    <w:link w:val="3"/>
    <w:qFormat/>
    <w:uiPriority w:val="9"/>
    <w:rPr>
      <w:rFonts w:asciiTheme="majorHAnsi" w:hAnsiTheme="majorHAnsi" w:eastAsiaTheme="majorEastAsia" w:cstheme="majorBidi"/>
      <w:b/>
      <w:bCs/>
      <w:sz w:val="32"/>
      <w:szCs w:val="32"/>
    </w:rPr>
  </w:style>
  <w:style w:type="character" w:customStyle="1" w:styleId="25">
    <w:name w:val="标题 3 Char"/>
    <w:basedOn w:val="15"/>
    <w:link w:val="4"/>
    <w:qFormat/>
    <w:uiPriority w:val="9"/>
    <w:rPr>
      <w:rFonts w:ascii="Times New Roman" w:hAnsi="Times New Roman" w:eastAsia="宋体" w:cs="Times New Roman"/>
      <w:b/>
      <w:bCs/>
      <w:sz w:val="32"/>
      <w:szCs w:val="32"/>
    </w:rPr>
  </w:style>
  <w:style w:type="character" w:customStyle="1" w:styleId="26">
    <w:name w:val="标题 4 Char"/>
    <w:basedOn w:val="15"/>
    <w:link w:val="5"/>
    <w:qFormat/>
    <w:uiPriority w:val="9"/>
    <w:rPr>
      <w:rFonts w:asciiTheme="majorHAnsi" w:hAnsiTheme="majorHAnsi" w:eastAsiaTheme="majorEastAsia" w:cstheme="majorBidi"/>
      <w:b/>
      <w:bCs/>
      <w:sz w:val="28"/>
      <w:szCs w:val="28"/>
    </w:rPr>
  </w:style>
  <w:style w:type="character" w:customStyle="1" w:styleId="27">
    <w:name w:val="标题 1 Char"/>
    <w:basedOn w:val="15"/>
    <w:link w:val="2"/>
    <w:qFormat/>
    <w:uiPriority w:val="9"/>
    <w:rPr>
      <w:rFonts w:ascii="Times New Roman" w:hAnsi="Times New Roman" w:eastAsia="宋体" w:cs="Times New Roman"/>
      <w:b/>
      <w:bCs/>
      <w:kern w:val="44"/>
      <w:sz w:val="44"/>
      <w:szCs w:val="44"/>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9">
    <w:name w:val="批注文字 Char"/>
    <w:basedOn w:val="15"/>
    <w:link w:val="6"/>
    <w:semiHidden/>
    <w:qFormat/>
    <w:uiPriority w:val="99"/>
    <w:rPr>
      <w:rFonts w:ascii="Times New Roman" w:hAnsi="Times New Roman" w:eastAsia="宋体" w:cs="Times New Roman"/>
      <w:szCs w:val="24"/>
    </w:rPr>
  </w:style>
  <w:style w:type="character" w:customStyle="1" w:styleId="30">
    <w:name w:val="批注主题 Char"/>
    <w:basedOn w:val="29"/>
    <w:link w:val="12"/>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66002-BB06-465E-B881-ABDF4670F9BB}">
  <ds:schemaRefs/>
</ds:datastoreItem>
</file>

<file path=docProps/app.xml><?xml version="1.0" encoding="utf-8"?>
<Properties xmlns="http://schemas.openxmlformats.org/officeDocument/2006/extended-properties" xmlns:vt="http://schemas.openxmlformats.org/officeDocument/2006/docPropsVTypes">
  <Template>Normal.dotm</Template>
  <Company>www.dadighost.com</Company>
  <Pages>5</Pages>
  <Words>1224</Words>
  <Characters>6981</Characters>
  <Lines>58</Lines>
  <Paragraphs>16</Paragraphs>
  <TotalTime>4</TotalTime>
  <ScaleCrop>false</ScaleCrop>
  <LinksUpToDate>false</LinksUpToDate>
  <CharactersWithSpaces>8189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2020-01-22T08:25:00Z</dcterms:created>
  <dc:creator>黎琳</dc:creator>
  <cp:lastModifiedBy>LiuYunpeng</cp:lastModifiedBy>
  <dcterms:modified xsi:type="dcterms:W3CDTF">2023-03-23T07:13:38Z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